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A77" w:rsidRPr="004A4D88" w:rsidRDefault="00ED6D9A" w:rsidP="00996F42">
      <w:pPr>
        <w:jc w:val="center"/>
        <w:rPr>
          <w:rFonts w:cs="Arial"/>
          <w:bCs/>
          <w:szCs w:val="24"/>
        </w:rPr>
      </w:pPr>
      <w:r w:rsidRPr="004A4D88">
        <w:rPr>
          <w:rFonts w:cs="Arial"/>
          <w:bCs/>
          <w:szCs w:val="24"/>
        </w:rPr>
        <w:t>PONENCIA PROYEC</w:t>
      </w:r>
      <w:r w:rsidR="00292246">
        <w:rPr>
          <w:rFonts w:cs="Arial"/>
          <w:bCs/>
          <w:szCs w:val="24"/>
        </w:rPr>
        <w:t xml:space="preserve">TO DE ACUERDO N° </w:t>
      </w:r>
      <w:r w:rsidR="00FF59EA">
        <w:rPr>
          <w:rFonts w:cs="Arial"/>
          <w:bCs/>
          <w:szCs w:val="24"/>
        </w:rPr>
        <w:t>416</w:t>
      </w:r>
      <w:r w:rsidR="00A52453" w:rsidRPr="004A4D88">
        <w:rPr>
          <w:rFonts w:cs="Arial"/>
          <w:bCs/>
          <w:szCs w:val="24"/>
        </w:rPr>
        <w:t xml:space="preserve"> DE  20</w:t>
      </w:r>
      <w:r w:rsidR="00AF3D0D" w:rsidRPr="004A4D88">
        <w:rPr>
          <w:rFonts w:cs="Arial"/>
          <w:bCs/>
          <w:szCs w:val="24"/>
        </w:rPr>
        <w:t>25</w:t>
      </w:r>
    </w:p>
    <w:p w:rsidR="00F7516E" w:rsidRPr="004A4D88" w:rsidRDefault="00F7516E" w:rsidP="00996F42">
      <w:pPr>
        <w:jc w:val="center"/>
        <w:rPr>
          <w:rFonts w:cs="Arial"/>
          <w:bCs/>
          <w:szCs w:val="24"/>
        </w:rPr>
      </w:pPr>
    </w:p>
    <w:p w:rsidR="00F7516E" w:rsidRPr="004A4D88" w:rsidRDefault="00F7516E" w:rsidP="00F7516E">
      <w:pPr>
        <w:jc w:val="center"/>
        <w:rPr>
          <w:rFonts w:cs="Arial"/>
          <w:b/>
          <w:bCs/>
          <w:color w:val="auto"/>
          <w:sz w:val="22"/>
          <w:szCs w:val="22"/>
          <w:lang w:val="es-CO"/>
        </w:rPr>
      </w:pPr>
      <w:r w:rsidRPr="004A4D88">
        <w:rPr>
          <w:rFonts w:cs="Arial"/>
          <w:b/>
          <w:bCs/>
          <w:color w:val="auto"/>
          <w:sz w:val="22"/>
          <w:szCs w:val="22"/>
          <w:lang w:val="es-CO"/>
        </w:rPr>
        <w:t>"POR EL CUAL SE IMPLEMENTAN LINEAMIENTOS PARA LA DEPURACIÓN DE CARTERA A CARGO DEL INSTITUTO PARA LA ECONOMÍA SOCIAL (IPES) EN BENEFICIO DE VIVANDEROS, VIVANDERAS Y COMERCIANTES DEL SISTEMA DISTRITAL DE PLAZAS DE MERCADO, Y SE DICTAN OTRAS DISPOSICIONES"</w:t>
      </w:r>
    </w:p>
    <w:p w:rsidR="00F7516E" w:rsidRPr="004A4D88" w:rsidRDefault="00E87BD3" w:rsidP="00E87BD3">
      <w:pPr>
        <w:tabs>
          <w:tab w:val="left" w:pos="3317"/>
        </w:tabs>
        <w:rPr>
          <w:rFonts w:cs="Arial"/>
          <w:bCs/>
          <w:color w:val="auto"/>
          <w:sz w:val="22"/>
          <w:szCs w:val="22"/>
          <w:lang w:val="es-CO"/>
        </w:rPr>
      </w:pPr>
      <w:r w:rsidRPr="004A4D88">
        <w:rPr>
          <w:rFonts w:cs="Arial"/>
          <w:bCs/>
          <w:color w:val="auto"/>
          <w:sz w:val="22"/>
          <w:szCs w:val="22"/>
          <w:lang w:val="es-CO"/>
        </w:rPr>
        <w:tab/>
      </w:r>
    </w:p>
    <w:p w:rsidR="00AF3D0D" w:rsidRPr="004A4D88" w:rsidRDefault="00AF3D0D" w:rsidP="00AF3D0D">
      <w:pPr>
        <w:rPr>
          <w:rFonts w:cs="Arial"/>
          <w:szCs w:val="24"/>
          <w:lang w:val="es-CO"/>
        </w:rPr>
      </w:pPr>
    </w:p>
    <w:p w:rsidR="00AF3D0D" w:rsidRPr="004A4D88" w:rsidRDefault="00153A77" w:rsidP="00AD77EB">
      <w:pPr>
        <w:pStyle w:val="Prrafodelista"/>
        <w:numPr>
          <w:ilvl w:val="0"/>
          <w:numId w:val="19"/>
        </w:numPr>
        <w:spacing w:after="240"/>
        <w:jc w:val="both"/>
        <w:rPr>
          <w:rFonts w:cs="Arial"/>
          <w:b/>
          <w:szCs w:val="24"/>
        </w:rPr>
      </w:pPr>
      <w:r w:rsidRPr="004A4D88">
        <w:rPr>
          <w:rFonts w:cs="Arial"/>
          <w:b/>
          <w:szCs w:val="24"/>
        </w:rPr>
        <w:t>OBJETO DEL PROYECTO</w:t>
      </w:r>
    </w:p>
    <w:p w:rsidR="00F7516E" w:rsidRPr="004A4D88" w:rsidRDefault="00F7516E" w:rsidP="004A4D88">
      <w:pPr>
        <w:jc w:val="both"/>
        <w:rPr>
          <w:rFonts w:cs="Arial"/>
          <w:bCs/>
          <w:color w:val="auto"/>
          <w:szCs w:val="24"/>
          <w:lang w:val="es-CO"/>
        </w:rPr>
      </w:pPr>
      <w:r w:rsidRPr="004A4D88">
        <w:rPr>
          <w:rFonts w:cs="Arial"/>
          <w:bCs/>
          <w:color w:val="auto"/>
          <w:szCs w:val="24"/>
          <w:lang w:val="es-CO"/>
        </w:rPr>
        <w:t>El objeto del presente Acuerdo es adoptar las disposiciones del Artículo 121 y 270 del Plan Distrital de Desarrollo que busca garantizar “la eficiencia institucional en materia de depuración y saneamiento de la cartera a su cargo y el fortalecimiento del sistema distrital de plazas de mercado, así como  la ejecución del Manual PA04-MN- 002 del IPES, en lo que tiene que ver con la depuración de cartera de los vivanderos y vivanderas de Bogotá, respecto a las deudas que tienen con la Administración Distrital por el uso y destinación del espacio público en las distintas plazas distritales de mercado.</w:t>
      </w:r>
    </w:p>
    <w:p w:rsidR="00F7516E" w:rsidRPr="004A4D88" w:rsidRDefault="00F7516E" w:rsidP="00F7516E">
      <w:pPr>
        <w:spacing w:after="240"/>
        <w:jc w:val="both"/>
        <w:rPr>
          <w:rFonts w:cs="Arial"/>
          <w:b/>
          <w:szCs w:val="24"/>
        </w:rPr>
      </w:pPr>
    </w:p>
    <w:p w:rsidR="00AD77EB" w:rsidRPr="004A4D88" w:rsidRDefault="00AD77EB" w:rsidP="00AD77EB">
      <w:pPr>
        <w:pStyle w:val="Prrafodelista"/>
        <w:numPr>
          <w:ilvl w:val="0"/>
          <w:numId w:val="19"/>
        </w:numPr>
        <w:spacing w:line="0" w:lineRule="atLeast"/>
        <w:jc w:val="both"/>
        <w:rPr>
          <w:rFonts w:cs="Arial"/>
          <w:b/>
          <w:color w:val="000000" w:themeColor="text1"/>
          <w:szCs w:val="24"/>
        </w:rPr>
      </w:pPr>
      <w:r w:rsidRPr="004A4D88">
        <w:rPr>
          <w:rFonts w:cs="Arial"/>
          <w:b/>
          <w:color w:val="000000" w:themeColor="text1"/>
          <w:szCs w:val="24"/>
        </w:rPr>
        <w:t>ANTECEDENTES</w:t>
      </w:r>
    </w:p>
    <w:p w:rsidR="00CD4D4F" w:rsidRPr="004A4D88" w:rsidRDefault="00CD4D4F" w:rsidP="00CD4D4F">
      <w:pPr>
        <w:spacing w:line="0" w:lineRule="atLeast"/>
        <w:jc w:val="both"/>
        <w:rPr>
          <w:rFonts w:cs="Arial"/>
          <w:b/>
          <w:color w:val="000000" w:themeColor="text1"/>
          <w:szCs w:val="24"/>
        </w:rPr>
      </w:pPr>
    </w:p>
    <w:p w:rsidR="00CD4D4F" w:rsidRPr="004A4D88" w:rsidRDefault="00CD4D4F" w:rsidP="00CD4D4F">
      <w:pPr>
        <w:spacing w:line="0" w:lineRule="atLeast"/>
        <w:jc w:val="both"/>
        <w:rPr>
          <w:rFonts w:cs="Arial"/>
          <w:b/>
          <w:color w:val="000000" w:themeColor="text1"/>
          <w:szCs w:val="24"/>
        </w:rPr>
      </w:pPr>
      <w:r w:rsidRPr="004A4D88">
        <w:rPr>
          <w:rFonts w:cs="Arial"/>
          <w:bCs/>
          <w:color w:val="auto"/>
          <w:szCs w:val="24"/>
          <w:lang w:val="es-CO"/>
        </w:rPr>
        <w:t>La presente iniciativa no cuenta con antecedentes y es presentada por primera vez para su respectivo estudio.</w:t>
      </w:r>
    </w:p>
    <w:p w:rsidR="00153A77" w:rsidRPr="004A4D88" w:rsidRDefault="00153A77" w:rsidP="00996F42">
      <w:pPr>
        <w:jc w:val="both"/>
        <w:rPr>
          <w:rFonts w:cs="Arial"/>
          <w:szCs w:val="24"/>
        </w:rPr>
      </w:pPr>
    </w:p>
    <w:p w:rsidR="00153A77" w:rsidRPr="004A4D88" w:rsidRDefault="00DD3997" w:rsidP="00DD3997">
      <w:pPr>
        <w:spacing w:after="240" w:line="360" w:lineRule="auto"/>
        <w:ind w:left="360"/>
        <w:jc w:val="both"/>
        <w:rPr>
          <w:rFonts w:cs="Arial"/>
          <w:b/>
          <w:szCs w:val="24"/>
        </w:rPr>
      </w:pPr>
      <w:r w:rsidRPr="004A4D88">
        <w:rPr>
          <w:rFonts w:cs="Arial"/>
          <w:b/>
          <w:szCs w:val="24"/>
        </w:rPr>
        <w:t>3.</w:t>
      </w:r>
      <w:r w:rsidR="00153A77" w:rsidRPr="004A4D88">
        <w:rPr>
          <w:rFonts w:cs="Arial"/>
          <w:b/>
          <w:szCs w:val="24"/>
        </w:rPr>
        <w:t>JUSTIFICACIÓN</w:t>
      </w:r>
    </w:p>
    <w:p w:rsidR="00153A77" w:rsidRPr="004A4D88" w:rsidRDefault="00A33AA0" w:rsidP="00A56EB5">
      <w:pPr>
        <w:spacing w:after="240" w:line="360" w:lineRule="auto"/>
        <w:jc w:val="both"/>
        <w:rPr>
          <w:rFonts w:cs="Arial"/>
          <w:b/>
          <w:szCs w:val="24"/>
          <w:u w:val="single"/>
        </w:rPr>
      </w:pPr>
      <w:r w:rsidRPr="004A4D88">
        <w:rPr>
          <w:rFonts w:cs="Arial"/>
          <w:b/>
          <w:szCs w:val="24"/>
          <w:u w:val="single"/>
        </w:rPr>
        <w:t>El autor de la presente iniciativa la sustenta</w:t>
      </w:r>
      <w:r w:rsidR="00153A77" w:rsidRPr="004A4D88">
        <w:rPr>
          <w:rFonts w:cs="Arial"/>
          <w:b/>
          <w:szCs w:val="24"/>
          <w:u w:val="single"/>
        </w:rPr>
        <w:t xml:space="preserve"> de la siguiente manera:</w:t>
      </w:r>
    </w:p>
    <w:p w:rsidR="009955F7" w:rsidRPr="004A4D88" w:rsidRDefault="00103744" w:rsidP="009955F7">
      <w:pPr>
        <w:jc w:val="both"/>
        <w:rPr>
          <w:rFonts w:cs="Arial"/>
          <w:bCs/>
          <w:color w:val="auto"/>
          <w:szCs w:val="24"/>
          <w:lang w:val="es-CO"/>
        </w:rPr>
      </w:pPr>
      <w:r w:rsidRPr="004A4D88">
        <w:rPr>
          <w:rFonts w:cs="Arial"/>
          <w:bCs/>
          <w:color w:val="auto"/>
          <w:szCs w:val="24"/>
          <w:lang w:val="es-CO"/>
        </w:rPr>
        <w:t>“ P</w:t>
      </w:r>
      <w:r w:rsidR="009955F7" w:rsidRPr="004A4D88">
        <w:rPr>
          <w:rFonts w:cs="Arial"/>
          <w:bCs/>
          <w:color w:val="auto"/>
          <w:szCs w:val="24"/>
          <w:lang w:val="es-CO"/>
        </w:rPr>
        <w:t xml:space="preserve">retende motivar e incentivar la economía social de los vivanderos , vivanderas y comerciantes, a través de una serie de estímulos, prerrogativas, condonaciones y medidas que depuren la cartera que se tiene por el uso y destinación del espacio público en las distintas plazas de mercado (cupos, locales, mostradores, restaurantes, bodegas </w:t>
      </w:r>
      <w:proofErr w:type="spellStart"/>
      <w:r w:rsidR="009955F7" w:rsidRPr="004A4D88">
        <w:rPr>
          <w:rFonts w:cs="Arial"/>
          <w:bCs/>
          <w:color w:val="auto"/>
          <w:szCs w:val="24"/>
          <w:lang w:val="es-CO"/>
        </w:rPr>
        <w:t>etc</w:t>
      </w:r>
      <w:proofErr w:type="spellEnd"/>
      <w:r w:rsidR="009955F7" w:rsidRPr="004A4D88">
        <w:rPr>
          <w:rFonts w:cs="Arial"/>
          <w:bCs/>
          <w:color w:val="auto"/>
          <w:szCs w:val="24"/>
          <w:lang w:val="es-CO"/>
        </w:rPr>
        <w:t>); esto, en atención a que, de manera reiterada, dichos comerciantes denunciaron que “…durante la pandemia, la mayoría (…) no recibieron ningún tipo de ayuda”</w:t>
      </w:r>
      <w:r w:rsidRPr="004A4D88">
        <w:rPr>
          <w:rStyle w:val="Refdenotaalpie"/>
          <w:rFonts w:cs="Arial"/>
          <w:bCs/>
          <w:color w:val="auto"/>
          <w:szCs w:val="24"/>
          <w:lang w:val="es-CO"/>
        </w:rPr>
        <w:footnoteReference w:id="1"/>
      </w:r>
    </w:p>
    <w:p w:rsidR="009955F7" w:rsidRPr="004A4D88" w:rsidRDefault="009955F7" w:rsidP="009955F7">
      <w:pPr>
        <w:jc w:val="both"/>
        <w:rPr>
          <w:rFonts w:cs="Arial"/>
          <w:bCs/>
          <w:color w:val="auto"/>
          <w:szCs w:val="24"/>
          <w:lang w:val="es-CO"/>
        </w:rPr>
      </w:pP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En Bogotá D.C., existen 19 plazas de mercado que se discriminan así:  </w:t>
      </w:r>
    </w:p>
    <w:p w:rsidR="009955F7" w:rsidRPr="004A4D88" w:rsidRDefault="009955F7" w:rsidP="009955F7">
      <w:pPr>
        <w:jc w:val="both"/>
        <w:rPr>
          <w:rFonts w:cs="Arial"/>
          <w:bCs/>
          <w:color w:val="auto"/>
          <w:szCs w:val="24"/>
          <w:lang w:val="es-CO"/>
        </w:rPr>
      </w:pPr>
    </w:p>
    <w:p w:rsidR="009955F7" w:rsidRPr="004A4D88" w:rsidRDefault="009955F7" w:rsidP="009955F7">
      <w:pPr>
        <w:jc w:val="both"/>
        <w:rPr>
          <w:rFonts w:cs="Arial"/>
          <w:bCs/>
          <w:color w:val="auto"/>
          <w:szCs w:val="24"/>
          <w:lang w:val="es-CO"/>
        </w:rPr>
      </w:pPr>
    </w:p>
    <w:tbl>
      <w:tblPr>
        <w:tblStyle w:val="Tablaconcuadrcula"/>
        <w:tblW w:w="8218" w:type="dxa"/>
        <w:tblInd w:w="-5" w:type="dxa"/>
        <w:tblLook w:val="04A0" w:firstRow="1" w:lastRow="0" w:firstColumn="1" w:lastColumn="0" w:noHBand="0" w:noVBand="1"/>
      </w:tblPr>
      <w:tblGrid>
        <w:gridCol w:w="483"/>
        <w:gridCol w:w="7792"/>
      </w:tblGrid>
      <w:tr w:rsidR="003C33FF" w:rsidRPr="004A4D88" w:rsidTr="0031164A">
        <w:trPr>
          <w:trHeight w:val="298"/>
        </w:trPr>
        <w:tc>
          <w:tcPr>
            <w:tcW w:w="426" w:type="dxa"/>
            <w:noWrap/>
            <w:hideMark/>
          </w:tcPr>
          <w:p w:rsidR="003C33FF" w:rsidRPr="004A4D88" w:rsidRDefault="003C33FF" w:rsidP="003C33FF">
            <w:pPr>
              <w:jc w:val="center"/>
              <w:rPr>
                <w:rFonts w:cs="Arial"/>
                <w:b/>
                <w:bCs/>
                <w:color w:val="auto"/>
                <w:szCs w:val="24"/>
              </w:rPr>
            </w:pPr>
            <w:r w:rsidRPr="004A4D88">
              <w:rPr>
                <w:rFonts w:cs="Arial"/>
                <w:b/>
                <w:bCs/>
                <w:color w:val="auto"/>
                <w:szCs w:val="24"/>
              </w:rPr>
              <w:t>#</w:t>
            </w:r>
          </w:p>
        </w:tc>
        <w:tc>
          <w:tcPr>
            <w:tcW w:w="7792" w:type="dxa"/>
            <w:noWrap/>
            <w:hideMark/>
          </w:tcPr>
          <w:p w:rsidR="003C33FF" w:rsidRPr="004A4D88" w:rsidRDefault="003C33FF" w:rsidP="003C33FF">
            <w:pPr>
              <w:jc w:val="center"/>
              <w:rPr>
                <w:rFonts w:cs="Arial"/>
                <w:b/>
                <w:bCs/>
                <w:color w:val="auto"/>
                <w:szCs w:val="24"/>
              </w:rPr>
            </w:pPr>
            <w:r w:rsidRPr="004A4D88">
              <w:rPr>
                <w:rFonts w:cs="Arial"/>
                <w:b/>
                <w:bCs/>
                <w:color w:val="auto"/>
                <w:szCs w:val="24"/>
              </w:rPr>
              <w:t>NOMBRE DE LA PLAZA</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12 de octubre. Barrios Unidos.</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2</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20 de Julio. San Cristóbal.</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3</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7 de agosto. - Barrios Unidos.</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4</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Boyacá. Engativá.</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5</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El Carmen. Tunjuelito.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6</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Fontibón </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7</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Kennedy. </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8</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 Concordia. Candelaria.</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9</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 Perseverancia. -Santa Fe.</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10</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Las Cruces. Santa Fe.</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11</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Las Ferias. Engativá.</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12</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Lucero. Ciudad Bolívar.</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13</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w:t>
            </w:r>
            <w:proofErr w:type="spellStart"/>
            <w:r w:rsidRPr="004A4D88">
              <w:rPr>
                <w:rFonts w:cs="Arial"/>
                <w:bCs/>
                <w:color w:val="auto"/>
                <w:szCs w:val="24"/>
              </w:rPr>
              <w:t>Quirigua</w:t>
            </w:r>
            <w:proofErr w:type="spellEnd"/>
            <w:r w:rsidRPr="004A4D88">
              <w:rPr>
                <w:rFonts w:cs="Arial"/>
                <w:bCs/>
                <w:color w:val="auto"/>
                <w:szCs w:val="24"/>
              </w:rPr>
              <w:t>. Engativá.</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14</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Restrepo. Antonio Nariño.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15</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Samper Mendoza. Mártires.</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16</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San Benito. Tunjuelito.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17</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San Carlos. Tunjuelito.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18</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Plaza de mercado Santander. Antonio Nariño.</w:t>
            </w:r>
          </w:p>
        </w:tc>
      </w:tr>
      <w:tr w:rsidR="003C33FF" w:rsidRPr="004A4D88" w:rsidTr="0031164A">
        <w:trPr>
          <w:trHeight w:val="298"/>
        </w:trPr>
        <w:tc>
          <w:tcPr>
            <w:tcW w:w="426" w:type="dxa"/>
            <w:noWrap/>
            <w:hideMark/>
          </w:tcPr>
          <w:p w:rsidR="003C33FF" w:rsidRPr="004A4D88" w:rsidRDefault="003C33FF" w:rsidP="003C33FF">
            <w:pPr>
              <w:jc w:val="both"/>
              <w:rPr>
                <w:rFonts w:cs="Arial"/>
                <w:bCs/>
                <w:color w:val="auto"/>
                <w:szCs w:val="24"/>
              </w:rPr>
            </w:pPr>
            <w:r w:rsidRPr="004A4D88">
              <w:rPr>
                <w:rFonts w:cs="Arial"/>
                <w:bCs/>
                <w:color w:val="auto"/>
                <w:szCs w:val="24"/>
              </w:rPr>
              <w:t>19</w:t>
            </w:r>
          </w:p>
        </w:tc>
        <w:tc>
          <w:tcPr>
            <w:tcW w:w="7792" w:type="dxa"/>
            <w:noWrap/>
            <w:hideMark/>
          </w:tcPr>
          <w:p w:rsidR="003C33FF" w:rsidRPr="004A4D88" w:rsidRDefault="003C33FF" w:rsidP="003C33FF">
            <w:pPr>
              <w:jc w:val="both"/>
              <w:rPr>
                <w:rFonts w:cs="Arial"/>
                <w:bCs/>
                <w:color w:val="auto"/>
                <w:szCs w:val="24"/>
              </w:rPr>
            </w:pPr>
            <w:r w:rsidRPr="004A4D88">
              <w:rPr>
                <w:rFonts w:cs="Arial"/>
                <w:bCs/>
                <w:color w:val="auto"/>
                <w:szCs w:val="24"/>
              </w:rPr>
              <w:t xml:space="preserve">Plaza de mercado Trinidad </w:t>
            </w:r>
            <w:r w:rsidR="006E2609" w:rsidRPr="004A4D88">
              <w:rPr>
                <w:rFonts w:cs="Arial"/>
                <w:bCs/>
                <w:color w:val="auto"/>
                <w:szCs w:val="24"/>
              </w:rPr>
              <w:t>Galán.</w:t>
            </w:r>
            <w:r w:rsidRPr="004A4D88">
              <w:rPr>
                <w:rFonts w:cs="Arial"/>
                <w:bCs/>
                <w:color w:val="auto"/>
                <w:szCs w:val="24"/>
              </w:rPr>
              <w:t xml:space="preserve"> Puente Aranda.</w:t>
            </w:r>
          </w:p>
        </w:tc>
      </w:tr>
    </w:tbl>
    <w:p w:rsidR="009955F7" w:rsidRPr="004A4D88" w:rsidRDefault="00103744" w:rsidP="00103744">
      <w:pPr>
        <w:jc w:val="center"/>
        <w:rPr>
          <w:rFonts w:cs="Arial"/>
          <w:b/>
          <w:bCs/>
          <w:color w:val="auto"/>
          <w:sz w:val="20"/>
          <w:szCs w:val="24"/>
          <w:lang w:val="es-CO"/>
        </w:rPr>
      </w:pPr>
      <w:r w:rsidRPr="004A4D88">
        <w:rPr>
          <w:rFonts w:cs="Arial"/>
          <w:b/>
          <w:bCs/>
          <w:color w:val="auto"/>
          <w:sz w:val="20"/>
          <w:szCs w:val="24"/>
          <w:lang w:val="es-CO"/>
        </w:rPr>
        <w:t>Fuente: Autores del Proyecto</w:t>
      </w:r>
    </w:p>
    <w:p w:rsidR="009955F7" w:rsidRPr="004A4D88" w:rsidRDefault="009955F7" w:rsidP="00474641">
      <w:pPr>
        <w:jc w:val="both"/>
        <w:rPr>
          <w:rFonts w:cs="Arial"/>
          <w:bCs/>
          <w:color w:val="auto"/>
          <w:szCs w:val="24"/>
          <w:lang w:val="es-CO"/>
        </w:rPr>
      </w:pPr>
      <w:r w:rsidRPr="004A4D88">
        <w:rPr>
          <w:rFonts w:cs="Arial"/>
          <w:bCs/>
          <w:color w:val="auto"/>
          <w:szCs w:val="24"/>
          <w:lang w:val="es-CO"/>
        </w:rPr>
        <w:tab/>
      </w:r>
    </w:p>
    <w:p w:rsidR="009955F7" w:rsidRPr="004A4D88" w:rsidRDefault="00C80889"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La población de las plazas de mercado, según el Decreto 546 de 2022, se componen por agricultores, indígenas campesinos y artesanos; ello, sin contar que muchos tienen su residencia y/ domicilio en lugares circunvecinos que los ata no solo por su actividad u oficio, sino porque encuentran un arraigo con el sector en donde se  encuentran cada una de las plazas de mercado distribuidas en las 20 localidades de la ciudad en donde se “…reúnen 3.999 puestos aproximadamente, de los cuales 3.077 están ocupados (77 %)”</w:t>
      </w:r>
      <w:r w:rsidRPr="004A4D88">
        <w:rPr>
          <w:rStyle w:val="Refdenotaalpie"/>
          <w:rFonts w:cs="Arial"/>
          <w:bCs/>
          <w:color w:val="auto"/>
          <w:szCs w:val="24"/>
          <w:lang w:val="es-CO"/>
        </w:rPr>
        <w:footnoteReference w:id="2"/>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C80889"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Dada la importancia económica, pero, más de carácter social de la actividad que desarrollan los vivanderos, resulta claro, en la sabiduría del Concejo, que se deben tomar medidas para superar las obligaciones que en la actualidad presentan los comerciantes de las plazas de mercado con el Distrito; no hacerlo, implicaría una protesta que afectaría a todas las localidades en el orden social, de movilidad, de </w:t>
      </w:r>
      <w:r w:rsidR="009955F7" w:rsidRPr="004A4D88">
        <w:rPr>
          <w:rFonts w:cs="Arial"/>
          <w:bCs/>
          <w:color w:val="auto"/>
          <w:szCs w:val="24"/>
          <w:lang w:val="es-CO"/>
        </w:rPr>
        <w:lastRenderedPageBreak/>
        <w:t>abastecimiento de alimentos y seguridad alimentaria, económica y, en general, de orden público.</w:t>
      </w:r>
      <w:r w:rsidRPr="004A4D88">
        <w:rPr>
          <w:rFonts w:cs="Arial"/>
          <w:bCs/>
          <w:color w:val="auto"/>
          <w:szCs w:val="24"/>
          <w:lang w:val="es-CO"/>
        </w:rPr>
        <w:t>”</w:t>
      </w:r>
      <w:r w:rsidRPr="004A4D88">
        <w:rPr>
          <w:rStyle w:val="Refdenotaalpie"/>
          <w:rFonts w:cs="Arial"/>
          <w:bCs/>
          <w:color w:val="auto"/>
          <w:szCs w:val="24"/>
          <w:lang w:val="es-CO"/>
        </w:rPr>
        <w:footnoteReference w:id="3"/>
      </w:r>
    </w:p>
    <w:p w:rsidR="009955F7" w:rsidRPr="004A4D88" w:rsidRDefault="009955F7" w:rsidP="009955F7">
      <w:pPr>
        <w:jc w:val="both"/>
        <w:rPr>
          <w:rFonts w:cs="Arial"/>
          <w:bCs/>
          <w:color w:val="auto"/>
          <w:szCs w:val="24"/>
          <w:lang w:val="es-CO"/>
        </w:rPr>
      </w:pPr>
    </w:p>
    <w:p w:rsidR="009955F7" w:rsidRPr="004A4D88" w:rsidRDefault="00585992"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La actualidad económica de los vivanderos post pandemia, no es para nada halagüeña. Las medidas del gobierno nacional y distrital para la reactivación económica, luego de la recesión, los bloqueos y los paros, no fueron efectivas; esto, en atención a que las medidas, la gran mayoría, estuvieron dirigidas a las medianas y pequeñas empresas, no así para los comerciantes de las plazas de mercado, quienes, por costumbre, ni siquiera se encuentran en el panorama mercantil ya que no se encuentran registrados en la cámara de comercio de la ciudad, ni tienen certificados de existencia y representación legal de sus negocios, pues en muchos casos, sus locales no presentan razón social o nombre comercial</w:t>
      </w:r>
      <w:r w:rsidRPr="004A4D88">
        <w:rPr>
          <w:rFonts w:cs="Arial"/>
          <w:bCs/>
          <w:color w:val="auto"/>
          <w:szCs w:val="24"/>
          <w:lang w:val="es-CO"/>
        </w:rPr>
        <w:t>”</w:t>
      </w:r>
      <w:r w:rsidRPr="004A4D88">
        <w:rPr>
          <w:rStyle w:val="Refdenotaalpie"/>
          <w:rFonts w:cs="Arial"/>
          <w:bCs/>
          <w:color w:val="auto"/>
          <w:szCs w:val="24"/>
          <w:lang w:val="es-CO"/>
        </w:rPr>
        <w:footnoteReference w:id="4"/>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585992"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Así por ejemplo, el programa Unidos por Colombia, del Fondo Nacional de Garantías (FNG), en el año 2021, logró llegar, en un año, a más de 616.000 empresas y trabajadores independientes , y, pese a contar con ocho líneas para respaldar las necesidades de los empresarios y trabajadores independientes, (…) y  contar con liquidez para asumir los gastos de personal, costos fijos (arriendo, servicios públicos, etc.), entre otras obligaciones, no se tuvo en cuenta la población de comerciantes o vivanderos de las plazas de mercado</w:t>
      </w:r>
      <w:r w:rsidRPr="004A4D88">
        <w:rPr>
          <w:rFonts w:cs="Arial"/>
          <w:bCs/>
          <w:color w:val="auto"/>
          <w:szCs w:val="24"/>
          <w:lang w:val="es-CO"/>
        </w:rPr>
        <w:t>”</w:t>
      </w:r>
      <w:r w:rsidRPr="004A4D88">
        <w:rPr>
          <w:rStyle w:val="Refdenotaalpie"/>
          <w:rFonts w:cs="Arial"/>
          <w:bCs/>
          <w:color w:val="auto"/>
          <w:szCs w:val="24"/>
          <w:lang w:val="es-CO"/>
        </w:rPr>
        <w:footnoteReference w:id="5"/>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585992"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El Decreto 1422 dictó que entre el 15 y el 30 de noviembre se adelanta el pago de la prima de Navidad en el sector público, Gobierno Central; mediante el Decreto 444 del 21 de marzo de 2020, el Gobierno nacional creó el Fondo para la Mitigación de la Emergencia (FOME), buscó efectuar apoyos de liquidez al sector financiero; invertir en instrumentos de capital o deuda emitidos por empresas y entregar directamente financiamiento a empresas; proveer liquidez a la nación,  ¿y, los vivanderos?,  el Decreto 562 creó una inversión obligatoria temporal en títulos de deuda pública interna denominados Títulos de Solidaridad (TDS), cuyos recursos serán destinados a conjurar las consecuencias de la crisis: decreto sastre, hecho a la medida de los banqueros para endeudar al Estado</w:t>
      </w:r>
      <w:r w:rsidRPr="004A4D88">
        <w:rPr>
          <w:rFonts w:cs="Arial"/>
          <w:bCs/>
          <w:color w:val="auto"/>
          <w:szCs w:val="24"/>
          <w:lang w:val="es-CO"/>
        </w:rPr>
        <w:t>”</w:t>
      </w:r>
      <w:r w:rsidRPr="004A4D88">
        <w:rPr>
          <w:rStyle w:val="Refdenotaalpie"/>
          <w:rFonts w:cs="Arial"/>
          <w:bCs/>
          <w:color w:val="auto"/>
          <w:szCs w:val="24"/>
          <w:lang w:val="es-CO"/>
        </w:rPr>
        <w:footnoteReference w:id="6"/>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 xml:space="preserve"> </w:t>
      </w:r>
      <w:r w:rsidR="009955F7" w:rsidRPr="004A4D88">
        <w:rPr>
          <w:rFonts w:cs="Arial"/>
          <w:bCs/>
          <w:color w:val="auto"/>
          <w:szCs w:val="24"/>
          <w:lang w:val="es-CO"/>
        </w:rPr>
        <w:t>En suma, el total de recursos que el Gobierno destinó para conjurar la crisis de la Covid-19 se resumen en la siguiente tabla:</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4B0A55" w:rsidP="009955F7">
      <w:pPr>
        <w:jc w:val="both"/>
        <w:rPr>
          <w:rFonts w:cs="Arial"/>
          <w:bCs/>
          <w:color w:val="auto"/>
          <w:szCs w:val="24"/>
          <w:lang w:val="es-CO"/>
        </w:rPr>
      </w:pPr>
      <w:r w:rsidRPr="004A4D88">
        <w:rPr>
          <w:rFonts w:cs="Arial"/>
          <w:bCs/>
          <w:color w:val="auto"/>
          <w:szCs w:val="24"/>
          <w:lang w:val="es-CO"/>
        </w:rPr>
        <w:lastRenderedPageBreak/>
        <w:t>“</w:t>
      </w:r>
      <w:r w:rsidR="009955F7" w:rsidRPr="004A4D88">
        <w:rPr>
          <w:rFonts w:cs="Arial"/>
          <w:bCs/>
          <w:color w:val="auto"/>
          <w:szCs w:val="24"/>
          <w:lang w:val="es-CO"/>
        </w:rPr>
        <w:t>Comoquiera que ninguno de los incentivos para la reactivación económica recayó en los vivanderos, se hace necesario crear uno que verse sobre las deudas que en la actualidad tiene este grupo de comerciantes con el Distrito en cabeza del IPES, en relación con los 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r w:rsidRPr="004A4D88">
        <w:rPr>
          <w:rStyle w:val="Refdenotaalpie"/>
          <w:rFonts w:cs="Arial"/>
          <w:bCs/>
          <w:color w:val="auto"/>
          <w:szCs w:val="24"/>
          <w:lang w:val="es-CO"/>
        </w:rPr>
        <w:footnoteReference w:id="7"/>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Dichas deudas son consideradas al tenor de lo dispuesto por la ley 1066 de 2006, que fijó normas para la normalización de la cartera pública, como deudas de carácter no tributario. En ese sentido, cada entidad está obligada a identificar los bienes, derechos y obligaciones que afecten el patrimonio público y a recopilar la documentación suficiente y pertinente para su correspondiente depuración, en cumplimiento de lo dispuesto en el artículo 355 de la Ley 1819 de 2016 , que determinó la obligación de todas las entidades territoriales de adelantar el proceso de depuración contable, con base en lo cual la Contaduría General de la Nación, mediante las resoluciones 193 de 2016 y 107 de 2017 , emitió los lineamientos por seguir en los procesos de depuración contable para entidades públicas, señalando el procedimiento para la evaluación del cont</w:t>
      </w:r>
      <w:r w:rsidRPr="004A4D88">
        <w:rPr>
          <w:rFonts w:cs="Arial"/>
          <w:bCs/>
          <w:color w:val="auto"/>
          <w:szCs w:val="24"/>
          <w:lang w:val="es-CO"/>
        </w:rPr>
        <w:t>rol interno contable vigente”</w:t>
      </w:r>
      <w:r w:rsidRPr="004A4D88">
        <w:rPr>
          <w:rStyle w:val="Refdenotaalpie"/>
          <w:rFonts w:cs="Arial"/>
          <w:bCs/>
          <w:color w:val="auto"/>
          <w:szCs w:val="24"/>
          <w:lang w:val="es-CO"/>
        </w:rPr>
        <w:footnoteReference w:id="8"/>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Asimismo, esta propuesta se sustenta básicamente en la Sentencia C-511 de 1996 que permite las medidas </w:t>
      </w:r>
      <w:proofErr w:type="spellStart"/>
      <w:r w:rsidR="009955F7" w:rsidRPr="004A4D88">
        <w:rPr>
          <w:rFonts w:cs="Arial"/>
          <w:bCs/>
          <w:color w:val="auto"/>
          <w:szCs w:val="24"/>
          <w:lang w:val="es-CO"/>
        </w:rPr>
        <w:t>exonerativas</w:t>
      </w:r>
      <w:proofErr w:type="spellEnd"/>
      <w:r w:rsidR="009955F7" w:rsidRPr="004A4D88">
        <w:rPr>
          <w:rFonts w:cs="Arial"/>
          <w:bCs/>
          <w:color w:val="auto"/>
          <w:szCs w:val="24"/>
          <w:lang w:val="es-CO"/>
        </w:rPr>
        <w:t xml:space="preserve"> de orden económico o fiscal en casos excepcionales y en la Ley 901 de 2004 que establece las condiciones en que las entidades públicas pueden llevar a cabo depuración de saldos contables; donde la Sentencia C-511 de 1996 determina que "Las amnistías o saneamientos consagradas, en principio son inconstitucionales. Lo anterior no es óbice para que, en situaciones excepcionales, puedan adoptarse medidas </w:t>
      </w:r>
      <w:proofErr w:type="spellStart"/>
      <w:r w:rsidR="009955F7" w:rsidRPr="004A4D88">
        <w:rPr>
          <w:rFonts w:cs="Arial"/>
          <w:bCs/>
          <w:color w:val="auto"/>
          <w:szCs w:val="24"/>
          <w:lang w:val="es-CO"/>
        </w:rPr>
        <w:t>exonerativas</w:t>
      </w:r>
      <w:proofErr w:type="spellEnd"/>
      <w:r w:rsidR="009955F7" w:rsidRPr="004A4D88">
        <w:rPr>
          <w:rFonts w:cs="Arial"/>
          <w:bCs/>
          <w:color w:val="auto"/>
          <w:szCs w:val="24"/>
          <w:lang w:val="es-CO"/>
        </w:rPr>
        <w:t xml:space="preserve"> de orden económico o fiscal debidamente justificadas que contrarresten los efectos negativos que puedan gravar de una manera crítica al fisco, reducir sustancialmente la capacidad contributiva de sus deudores o deprimir determinados sectores de la producción."</w:t>
      </w:r>
      <w:r w:rsidRPr="004A4D88">
        <w:rPr>
          <w:rStyle w:val="Refdenotaalpie"/>
          <w:rFonts w:cs="Arial"/>
          <w:bCs/>
          <w:color w:val="auto"/>
          <w:szCs w:val="24"/>
          <w:lang w:val="es-CO"/>
        </w:rPr>
        <w:footnoteReference w:id="9"/>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9955F7" w:rsidP="009955F7">
      <w:pPr>
        <w:jc w:val="both"/>
        <w:rPr>
          <w:rFonts w:cs="Arial"/>
          <w:b/>
          <w:bCs/>
          <w:color w:val="auto"/>
          <w:szCs w:val="24"/>
          <w:lang w:val="es-CO"/>
        </w:rPr>
      </w:pPr>
      <w:r w:rsidRPr="004A4D88">
        <w:rPr>
          <w:rFonts w:cs="Arial"/>
          <w:b/>
          <w:bCs/>
          <w:color w:val="auto"/>
          <w:szCs w:val="24"/>
          <w:lang w:val="es-CO"/>
        </w:rPr>
        <w:t>PLAN DE DESARROLLO DISTRITAL</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B51127" w:rsidRPr="004A4D88" w:rsidRDefault="004B0A55" w:rsidP="009955F7">
      <w:pPr>
        <w:jc w:val="both"/>
        <w:rPr>
          <w:rFonts w:cs="Arial"/>
          <w:bCs/>
          <w:color w:val="auto"/>
          <w:szCs w:val="24"/>
          <w:lang w:val="es-CO"/>
        </w:rPr>
      </w:pPr>
      <w:r w:rsidRPr="004A4D88">
        <w:rPr>
          <w:rFonts w:cs="Arial"/>
          <w:b/>
          <w:bCs/>
          <w:color w:val="auto"/>
          <w:szCs w:val="24"/>
          <w:u w:val="single"/>
          <w:lang w:val="es-CO"/>
        </w:rPr>
        <w:t>Así mismo, los autores expresan que</w:t>
      </w:r>
      <w:r w:rsidRPr="004A4D88">
        <w:rPr>
          <w:rFonts w:cs="Arial"/>
          <w:bCs/>
          <w:color w:val="auto"/>
          <w:szCs w:val="24"/>
          <w:lang w:val="es-CO"/>
        </w:rPr>
        <w:t xml:space="preserve"> “Bajo</w:t>
      </w:r>
      <w:r w:rsidR="009955F7" w:rsidRPr="004A4D88">
        <w:rPr>
          <w:rFonts w:cs="Arial"/>
          <w:bCs/>
          <w:color w:val="auto"/>
          <w:szCs w:val="24"/>
          <w:lang w:val="es-CO"/>
        </w:rPr>
        <w:t xml:space="preserve"> ese panorama, el Plan de Desarrollo Distrital vigente, estableció en su artículo 270 la obligación de las entidades distrita</w:t>
      </w:r>
      <w:r w:rsidR="009955F7" w:rsidRPr="004A4D88">
        <w:rPr>
          <w:rFonts w:cs="Arial"/>
          <w:bCs/>
          <w:color w:val="auto"/>
          <w:szCs w:val="24"/>
          <w:lang w:val="es-CO"/>
        </w:rPr>
        <w:lastRenderedPageBreak/>
        <w:t>les de depurar su cartera de cualquier índole y en cualquiera de sus etapas de cobro, con fundamento, entre otros, en la eficiencia resultante de la relación costo-beneficio,</w:t>
      </w:r>
      <w:r w:rsidRPr="004A4D88">
        <w:rPr>
          <w:rFonts w:cs="Arial"/>
          <w:bCs/>
          <w:color w:val="auto"/>
          <w:szCs w:val="24"/>
          <w:lang w:val="es-CO"/>
        </w:rPr>
        <w:t>”</w:t>
      </w:r>
      <w:r w:rsidRPr="004A4D88">
        <w:rPr>
          <w:rStyle w:val="Refdenotaalpie"/>
          <w:rFonts w:cs="Arial"/>
          <w:bCs/>
          <w:color w:val="auto"/>
          <w:szCs w:val="24"/>
          <w:lang w:val="es-CO"/>
        </w:rPr>
        <w:footnoteReference w:id="10"/>
      </w:r>
      <w:r w:rsidR="009955F7" w:rsidRPr="004A4D88">
        <w:rPr>
          <w:rFonts w:cs="Arial"/>
          <w:bCs/>
          <w:color w:val="auto"/>
          <w:szCs w:val="24"/>
          <w:lang w:val="es-CO"/>
        </w:rPr>
        <w:t xml:space="preserve"> así:</w:t>
      </w:r>
    </w:p>
    <w:p w:rsidR="009955F7" w:rsidRPr="004A4D88" w:rsidRDefault="009955F7" w:rsidP="009955F7">
      <w:pPr>
        <w:jc w:val="both"/>
        <w:rPr>
          <w:rFonts w:cs="Arial"/>
          <w:bCs/>
          <w:color w:val="auto"/>
          <w:szCs w:val="24"/>
          <w:lang w:val="es-CO"/>
        </w:rPr>
      </w:pPr>
      <w:r w:rsidRPr="004A4D88">
        <w:rPr>
          <w:rFonts w:cs="Arial"/>
          <w:bCs/>
          <w:color w:val="auto"/>
          <w:szCs w:val="24"/>
          <w:lang w:val="es-CO"/>
        </w:rPr>
        <w:t>.”</w:t>
      </w:r>
      <w:r w:rsidR="004B0A55" w:rsidRPr="004A4D88">
        <w:rPr>
          <w:rStyle w:val="Refdenotaalpie"/>
          <w:rFonts w:cs="Arial"/>
          <w:bCs/>
          <w:color w:val="auto"/>
          <w:szCs w:val="24"/>
          <w:lang w:val="es-CO"/>
        </w:rPr>
        <w:footnoteReference w:id="11"/>
      </w:r>
    </w:p>
    <w:p w:rsidR="004B0A55" w:rsidRPr="004A4D88" w:rsidRDefault="004B0A55" w:rsidP="009955F7">
      <w:pPr>
        <w:jc w:val="both"/>
        <w:rPr>
          <w:rFonts w:cs="Arial"/>
          <w:bCs/>
          <w:color w:val="auto"/>
          <w:szCs w:val="24"/>
          <w:lang w:val="es-CO"/>
        </w:rPr>
      </w:pPr>
    </w:p>
    <w:p w:rsidR="009955F7" w:rsidRPr="004A4D88" w:rsidRDefault="004B0A55"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A su vez, en su Artículo 121, el Plan de Desarrollo plantea el </w:t>
      </w:r>
      <w:r w:rsidR="00B06559" w:rsidRPr="004A4D88">
        <w:rPr>
          <w:rFonts w:cs="Arial"/>
          <w:bCs/>
          <w:color w:val="auto"/>
          <w:szCs w:val="24"/>
          <w:lang w:val="es-CO"/>
        </w:rPr>
        <w:t xml:space="preserve"> MM                                                                                                                                                                                                                                                                                                                                                                                                                                                                                                                                                                                         </w:t>
      </w:r>
      <w:r w:rsidR="009955F7" w:rsidRPr="004A4D88">
        <w:rPr>
          <w:rFonts w:cs="Arial"/>
          <w:bCs/>
          <w:color w:val="auto"/>
          <w:szCs w:val="24"/>
          <w:lang w:val="es-CO"/>
        </w:rPr>
        <w:t>, implementando acciones y gestiones encaminadas a la salvaguarda del patrimonio cultural inmaterial y la identidad cultural en la ciudad y de fortalecimiento de los procesos organizativos para el desarrollo sostenible y sustentable de estos espacios</w:t>
      </w:r>
      <w:r w:rsidRPr="004A4D88">
        <w:rPr>
          <w:rFonts w:cs="Arial"/>
          <w:bCs/>
          <w:color w:val="auto"/>
          <w:szCs w:val="24"/>
          <w:lang w:val="es-CO"/>
        </w:rPr>
        <w:t>”</w:t>
      </w:r>
      <w:r w:rsidRPr="004A4D88">
        <w:rPr>
          <w:rStyle w:val="Refdenotaalpie"/>
          <w:rFonts w:cs="Arial"/>
          <w:bCs/>
          <w:color w:val="auto"/>
          <w:szCs w:val="24"/>
          <w:lang w:val="es-CO"/>
        </w:rPr>
        <w:footnoteReference w:id="12"/>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9955F7" w:rsidP="009955F7">
      <w:pPr>
        <w:jc w:val="both"/>
        <w:rPr>
          <w:rFonts w:cs="Arial"/>
          <w:b/>
          <w:bCs/>
          <w:color w:val="auto"/>
          <w:szCs w:val="24"/>
          <w:lang w:val="es-CO"/>
        </w:rPr>
      </w:pPr>
      <w:r w:rsidRPr="004A4D88">
        <w:rPr>
          <w:rFonts w:cs="Arial"/>
          <w:b/>
          <w:bCs/>
          <w:color w:val="auto"/>
          <w:szCs w:val="24"/>
          <w:lang w:val="es-CO"/>
        </w:rPr>
        <w:t>PROCEDIMIENTO PARA LA DEPURACIÓN DE CARTERA</w:t>
      </w:r>
    </w:p>
    <w:p w:rsidR="009955F7" w:rsidRPr="004A4D88" w:rsidRDefault="009955F7" w:rsidP="009955F7">
      <w:pPr>
        <w:jc w:val="both"/>
        <w:rPr>
          <w:rFonts w:cs="Arial"/>
          <w:b/>
          <w:bCs/>
          <w:color w:val="auto"/>
          <w:szCs w:val="24"/>
          <w:lang w:val="es-CO"/>
        </w:rPr>
      </w:pPr>
    </w:p>
    <w:p w:rsidR="009955F7"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El Instituto Para La Economía Social – IPES, mediante el documento “Código: PR-125” del 30 de diciembre de 2020, definió “…el procedimiento para la depuración de la cartera con el fin de dejar como disponible para el cobro únicamente aquellas acreencias con mayores posibilidades de recuperación, en una relación costo-beneficio, en los términos que autoriza la ley.”; esto, con fundamento en el Manual de Recaudo y Gestión de Cartera</w:t>
      </w:r>
      <w:r w:rsidRPr="004A4D88">
        <w:rPr>
          <w:rFonts w:cs="Arial"/>
          <w:bCs/>
          <w:color w:val="auto"/>
          <w:szCs w:val="24"/>
          <w:lang w:val="es-CO"/>
        </w:rPr>
        <w:t>”</w:t>
      </w:r>
      <w:r w:rsidRPr="004A4D88">
        <w:rPr>
          <w:rStyle w:val="Refdenotaalpie"/>
          <w:rFonts w:cs="Arial"/>
          <w:bCs/>
          <w:color w:val="auto"/>
          <w:szCs w:val="24"/>
          <w:lang w:val="es-CO"/>
        </w:rPr>
        <w:footnoteReference w:id="13"/>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En dicho documento se definió el Contrato de uso administrativo y aprovechamiento económico regulado, así: “Acuerdo de voluntades generador de derechos y obligaciones entre el comerciante en plaza de mercado distrital y el IPES, mediante el cual se le otorga al comerciante el uso de puesto, local o bodega existente y debidamente identificado, con destino a la venta de víveres, alimentos y demás especies permitidas en el presente reglamento y en el respectivo contrato.” Y, en dicho procedimiento, se fijó la ruta para la depuración de cartera en el IPES</w:t>
      </w:r>
      <w:r w:rsidRPr="004A4D88">
        <w:rPr>
          <w:rFonts w:cs="Arial"/>
          <w:bCs/>
          <w:color w:val="auto"/>
          <w:szCs w:val="24"/>
          <w:lang w:val="es-CO"/>
        </w:rPr>
        <w:t>”</w:t>
      </w:r>
      <w:r w:rsidRPr="004A4D88">
        <w:rPr>
          <w:rStyle w:val="Refdenotaalpie"/>
          <w:rFonts w:cs="Arial"/>
          <w:bCs/>
          <w:color w:val="auto"/>
          <w:szCs w:val="24"/>
          <w:lang w:val="es-CO"/>
        </w:rPr>
        <w:footnoteReference w:id="14"/>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31164A"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Visto así el procedimiento, resulta procedente adoptar y/o adecuar la depuración de cartera de que trata el nuevo Plan de Desarrollo Distrital, adoptado por el distrito en el Acuerdo 927 de 2024 a lo ya establecido en el Manual de Recaudo y Gestión de Cartera PA04-MN- 002 del IPES y el propio documento “Código: PR-125” del 30 de diciembre de 2.020 habida cuenta que la reactivación económica es una realidad que no ha fenecido y, comoquiera que los vivanderos, aún cuentan con obligaciones que vienen cobrándose desde hace ya varios años, lo propio es sanear la cartera </w:t>
      </w:r>
      <w:r w:rsidR="009955F7" w:rsidRPr="004A4D88">
        <w:rPr>
          <w:rFonts w:cs="Arial"/>
          <w:bCs/>
          <w:color w:val="auto"/>
          <w:szCs w:val="24"/>
          <w:lang w:val="es-CO"/>
        </w:rPr>
        <w:lastRenderedPageBreak/>
        <w:t>que el IPES tiene con estos comerciantes y, con ello, otorgar un alivio eficaz que contribuya de manera real al desarrollo económica y la reactivación de la economía de los vivanderos para tal efecto, el presente Acuerdo dicta los lineamientos que regulen la extinción de todas las obligaciones contenidas en los contratos de uso administrativo y aprovechamiento económico suscritos por vivanderos, vivanderas y comerciantes con el distrito a través del IPES; esto, en atención a que el recaudo, normalización y cobro de cartera se hace inane en la medida que la capacidad de pago de dicho grupo poblacional hace que se haga imposible la satisfacción de los créditos que se desprenden del uso o tenencia de los cupos, locales o bodegas que fueron entregados en virtud de la celebración de los contratos de uso administrativo y aprovechamiento económico de igual modo, será obligación que todos vivanderos, vivanderas y comerciantes, a partir del presente acuerdo cuenten con contratos de uso administrativo y aprovechamiento económico; en ese entendido, no será admisible el uso y goce y/o tenencia de ningún cupo, local y/o bodega que no tenga justo título para poderlo explotar en las distintas plazas de mercado mencionadas con antelación</w:t>
      </w:r>
      <w:r w:rsidRPr="004A4D88">
        <w:rPr>
          <w:rFonts w:cs="Arial"/>
          <w:bCs/>
          <w:color w:val="auto"/>
          <w:szCs w:val="24"/>
          <w:lang w:val="es-CO"/>
        </w:rPr>
        <w:t>”</w:t>
      </w:r>
      <w:r w:rsidRPr="004A4D88">
        <w:rPr>
          <w:rStyle w:val="Refdenotaalpie"/>
          <w:rFonts w:cs="Arial"/>
          <w:bCs/>
          <w:color w:val="auto"/>
          <w:szCs w:val="24"/>
          <w:lang w:val="es-CO"/>
        </w:rPr>
        <w:footnoteReference w:id="15"/>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31164A"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Por esta razón, es importante tener en cuenta, además, que, en el año 2020, se expidió la Resolución 267 «por medio de la cual se deroga la Resolución 018 de 2017 y la Resolución 620 de 2019; y se expide el reglamento Administrativo, Operativo y de Mantenimiento de las Plazas de Mercado del Distrito Capital de Bogotá».</w:t>
      </w:r>
      <w:r w:rsidRPr="004A4D88">
        <w:rPr>
          <w:rStyle w:val="Refdenotaalpie"/>
          <w:rFonts w:cs="Arial"/>
          <w:bCs/>
          <w:color w:val="auto"/>
          <w:szCs w:val="24"/>
          <w:lang w:val="es-CO"/>
        </w:rPr>
        <w:footnoteReference w:id="16"/>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Esta norma produjo un profundo rechazo entre las vivanderas, vivanderos y comerciantes de las plazas de mercado, por un lado, porque no contó con una adecuada socialización y, por el otro, por no permitir la participación incidente y por desconocer abiertamente las particularidades, tradición y esencia de las plazas, permitiendo su comercialización abierta, por ejemplo, para que grandes grupos económicos accedieran a ellas</w:t>
      </w:r>
      <w:r w:rsidRPr="004A4D88">
        <w:rPr>
          <w:rFonts w:cs="Arial"/>
          <w:bCs/>
          <w:color w:val="auto"/>
          <w:szCs w:val="24"/>
          <w:lang w:val="es-CO"/>
        </w:rPr>
        <w:t>”</w:t>
      </w:r>
      <w:r w:rsidRPr="004A4D88">
        <w:rPr>
          <w:rStyle w:val="Refdenotaalpie"/>
          <w:rFonts w:cs="Arial"/>
          <w:bCs/>
          <w:color w:val="auto"/>
          <w:szCs w:val="24"/>
          <w:lang w:val="es-CO"/>
        </w:rPr>
        <w:footnoteReference w:id="17"/>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 xml:space="preserve">Resistencia que ocasionó la negativa a suscribir los contratos de uso administrativo y aprovechamiento económico que se les pretendían imponer, pese a la presión y amenaza de recuperación del espacio público por parte de la Administración por vía policiva. Esto, debido a que la consecuencia de estas resoluciones fue el aumento desmedido de los costos para el uso y aprovechamiento del espacio público de casi </w:t>
      </w:r>
      <w:r w:rsidR="009955F7" w:rsidRPr="004A4D88">
        <w:rPr>
          <w:rFonts w:cs="Arial"/>
          <w:bCs/>
          <w:color w:val="auto"/>
          <w:szCs w:val="24"/>
          <w:lang w:val="es-CO"/>
        </w:rPr>
        <w:lastRenderedPageBreak/>
        <w:t>imposible cumplimiento haciéndolos impagables, lo cual vienen sufriendo hoy en día muchas de las personas que sí suscribieron dicho contrato</w:t>
      </w:r>
      <w:r w:rsidRPr="004A4D88">
        <w:rPr>
          <w:rFonts w:cs="Arial"/>
          <w:bCs/>
          <w:color w:val="auto"/>
          <w:szCs w:val="24"/>
          <w:lang w:val="es-CO"/>
        </w:rPr>
        <w:t>”</w:t>
      </w:r>
      <w:r w:rsidRPr="004A4D88">
        <w:rPr>
          <w:rStyle w:val="Refdenotaalpie"/>
          <w:rFonts w:cs="Arial"/>
          <w:bCs/>
          <w:color w:val="auto"/>
          <w:szCs w:val="24"/>
          <w:lang w:val="es-CO"/>
        </w:rPr>
        <w:footnoteReference w:id="18"/>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Esto venía de la mano con la cantidad de papeles y requisitos para acceder a un módulo, en especial para las personas que son sujetos de especial protección constitucional (madres solteras, personas en situación de discapacidad, adultos mayores, etc.); La mencionada resolución fue rechazada en ese sentido, ya que solo una persona o empresa con bastante solvencia podría cumplir con esos requisitos. Además, se permitía incluso la prestación de servicios financieros en las plazas de mercado, lo cual hacía como estaba formulado que muchas de las personas que históricamente han estado en estos espacios debieran salir</w:t>
      </w:r>
      <w:r w:rsidRPr="004A4D88">
        <w:rPr>
          <w:rFonts w:cs="Arial"/>
          <w:bCs/>
          <w:color w:val="auto"/>
          <w:szCs w:val="24"/>
          <w:lang w:val="es-CO"/>
        </w:rPr>
        <w:t>”</w:t>
      </w:r>
      <w:r w:rsidRPr="004A4D88">
        <w:rPr>
          <w:rStyle w:val="Refdenotaalpie"/>
          <w:rFonts w:cs="Arial"/>
          <w:bCs/>
          <w:color w:val="auto"/>
          <w:szCs w:val="24"/>
          <w:lang w:val="es-CO"/>
        </w:rPr>
        <w:footnoteReference w:id="19"/>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Por lo anterior, durante el final del periodo de la Alcaldía de Claudia López y el comienzo del mandato de Carlos Fernando Galán se desarrolla una a negociación, con cierta resistencia por parte de la Administración habida cuenta de las restricciones de orden normativo que se establecen en el Decreto 493 de 2023, es decir, el reglamento para el uso y aprovechamiento del espacio público. Pues bien, este año se expidió una nueva norma que lo reemplaza, el Decreto 315 de 2024 y, en nuestra opinión, su redacción abre una ventana de oportunidad de la siguiente manera:</w:t>
      </w:r>
      <w:r w:rsidRPr="004A4D88">
        <w:rPr>
          <w:rFonts w:cs="Arial"/>
          <w:bCs/>
          <w:color w:val="auto"/>
          <w:szCs w:val="24"/>
          <w:lang w:val="es-CO"/>
        </w:rPr>
        <w:t>”</w:t>
      </w:r>
      <w:r w:rsidRPr="004A4D88">
        <w:rPr>
          <w:rStyle w:val="Refdenotaalpie"/>
          <w:rFonts w:cs="Arial"/>
          <w:bCs/>
          <w:color w:val="auto"/>
          <w:szCs w:val="24"/>
          <w:lang w:val="es-CO"/>
        </w:rPr>
        <w:footnoteReference w:id="20"/>
      </w:r>
    </w:p>
    <w:p w:rsidR="009955F7" w:rsidRPr="004A4D88" w:rsidRDefault="009955F7" w:rsidP="009955F7">
      <w:pPr>
        <w:jc w:val="both"/>
        <w:rPr>
          <w:rFonts w:cs="Arial"/>
          <w:bCs/>
          <w:color w:val="auto"/>
          <w:szCs w:val="24"/>
          <w:lang w:val="es-CO"/>
        </w:rPr>
      </w:pPr>
    </w:p>
    <w:p w:rsidR="009955F7" w:rsidRPr="004A4D88" w:rsidRDefault="00A377A4" w:rsidP="009955F7">
      <w:pPr>
        <w:jc w:val="both"/>
        <w:rPr>
          <w:rFonts w:cs="Arial"/>
          <w:bCs/>
          <w:color w:val="auto"/>
          <w:szCs w:val="24"/>
          <w:lang w:val="es-CO"/>
        </w:rPr>
      </w:pPr>
      <w:r w:rsidRPr="004A4D88">
        <w:rPr>
          <w:rFonts w:cs="Arial"/>
          <w:b/>
          <w:bCs/>
          <w:color w:val="auto"/>
          <w:szCs w:val="24"/>
          <w:u w:val="single"/>
          <w:lang w:val="es-CO"/>
        </w:rPr>
        <w:t>Los autores señalan que</w:t>
      </w:r>
      <w:r w:rsidRPr="004A4D88">
        <w:rPr>
          <w:rFonts w:cs="Arial"/>
          <w:bCs/>
          <w:color w:val="auto"/>
          <w:szCs w:val="24"/>
          <w:lang w:val="es-CO"/>
        </w:rPr>
        <w:t xml:space="preserve"> “</w:t>
      </w:r>
      <w:r w:rsidR="009955F7" w:rsidRPr="004A4D88">
        <w:rPr>
          <w:rFonts w:cs="Arial"/>
          <w:bCs/>
          <w:color w:val="auto"/>
          <w:szCs w:val="24"/>
          <w:lang w:val="es-CO"/>
        </w:rPr>
        <w:t>Dado que el artículo 19 de este decreto le ordena a cada una de las entidades gestoras del espacio público expedir un protocolo en el que se regulen las particularidades de cada espacio, se rompe el encierro normativo que había generado el Decreto 493 de 2023 y la expedición de este nuevo protocolo, mandado que fuera reiterado en el artículo 34 de la norma, y se convierte en una nueva oportunidad de concertación con las vivanderas, vivanderos y comerciantes de las plazas</w:t>
      </w:r>
      <w:r w:rsidR="00502995" w:rsidRPr="004A4D88">
        <w:rPr>
          <w:rFonts w:cs="Arial"/>
          <w:bCs/>
          <w:color w:val="auto"/>
          <w:szCs w:val="24"/>
          <w:lang w:val="es-CO"/>
        </w:rPr>
        <w:t>”</w:t>
      </w:r>
      <w:r w:rsidR="00502995" w:rsidRPr="004A4D88">
        <w:rPr>
          <w:rStyle w:val="Refdenotaalpie"/>
          <w:rFonts w:cs="Arial"/>
          <w:bCs/>
          <w:color w:val="auto"/>
          <w:szCs w:val="24"/>
          <w:lang w:val="es-CO"/>
        </w:rPr>
        <w:footnoteReference w:id="21"/>
      </w:r>
      <w:r w:rsidR="009955F7" w:rsidRPr="004A4D88">
        <w:rPr>
          <w:rFonts w:cs="Arial"/>
          <w:bCs/>
          <w:color w:val="auto"/>
          <w:szCs w:val="24"/>
          <w:lang w:val="es-CO"/>
        </w:rPr>
        <w:t>.</w:t>
      </w:r>
    </w:p>
    <w:p w:rsidR="00502995" w:rsidRPr="004A4D88" w:rsidRDefault="00502995" w:rsidP="009955F7">
      <w:pPr>
        <w:jc w:val="both"/>
        <w:rPr>
          <w:rFonts w:cs="Arial"/>
          <w:b/>
          <w:bCs/>
          <w:color w:val="auto"/>
          <w:szCs w:val="24"/>
          <w:u w:val="single"/>
          <w:lang w:val="es-CO"/>
        </w:rPr>
      </w:pPr>
    </w:p>
    <w:p w:rsidR="009955F7" w:rsidRPr="004A4D88" w:rsidRDefault="00502995" w:rsidP="009955F7">
      <w:pPr>
        <w:jc w:val="both"/>
        <w:rPr>
          <w:rFonts w:cs="Arial"/>
          <w:bCs/>
          <w:color w:val="auto"/>
          <w:szCs w:val="24"/>
          <w:lang w:val="es-CO"/>
        </w:rPr>
      </w:pPr>
      <w:r w:rsidRPr="004A4D88">
        <w:rPr>
          <w:rFonts w:cs="Arial"/>
          <w:b/>
          <w:bCs/>
          <w:color w:val="auto"/>
          <w:szCs w:val="24"/>
          <w:u w:val="single"/>
          <w:lang w:val="es-CO"/>
        </w:rPr>
        <w:t xml:space="preserve">Los autores de la inactiva indican </w:t>
      </w:r>
      <w:proofErr w:type="gramStart"/>
      <w:r w:rsidRPr="004A4D88">
        <w:rPr>
          <w:rFonts w:cs="Arial"/>
          <w:b/>
          <w:bCs/>
          <w:color w:val="auto"/>
          <w:szCs w:val="24"/>
          <w:u w:val="single"/>
          <w:lang w:val="es-CO"/>
        </w:rPr>
        <w:t>que</w:t>
      </w:r>
      <w:r w:rsidRPr="004A4D88">
        <w:rPr>
          <w:rFonts w:cs="Arial"/>
          <w:bCs/>
          <w:color w:val="auto"/>
          <w:szCs w:val="24"/>
          <w:lang w:val="es-CO"/>
        </w:rPr>
        <w:t xml:space="preserve"> :</w:t>
      </w:r>
      <w:proofErr w:type="gramEnd"/>
      <w:r w:rsidRPr="004A4D88">
        <w:rPr>
          <w:rFonts w:cs="Arial"/>
          <w:bCs/>
          <w:color w:val="auto"/>
          <w:szCs w:val="24"/>
          <w:lang w:val="es-CO"/>
        </w:rPr>
        <w:t xml:space="preserve"> “</w:t>
      </w:r>
      <w:r w:rsidR="009955F7" w:rsidRPr="004A4D88">
        <w:rPr>
          <w:rFonts w:cs="Arial"/>
          <w:bCs/>
          <w:color w:val="auto"/>
          <w:szCs w:val="24"/>
          <w:lang w:val="es-CO"/>
        </w:rPr>
        <w:t>En el artículo 7 se establece que las autorizaciones de aprovechamiento económico del espacio público deben velar porque cada elemento de este se utilice para los propósitos para los que fue destinado. Ese mandato se reitera como deber de las entidades gestoras en el numeral 18.6 del artículo 18.</w:t>
      </w:r>
      <w:r w:rsidR="00A377A4" w:rsidRPr="004A4D88">
        <w:rPr>
          <w:rFonts w:cs="Arial"/>
          <w:bCs/>
          <w:color w:val="auto"/>
          <w:szCs w:val="24"/>
          <w:lang w:val="es-CO"/>
        </w:rPr>
        <w:t>”</w:t>
      </w:r>
      <w:r w:rsidRPr="004A4D88">
        <w:rPr>
          <w:rStyle w:val="Refdenotaalpie"/>
          <w:rFonts w:cs="Arial"/>
          <w:bCs/>
          <w:color w:val="auto"/>
          <w:szCs w:val="24"/>
          <w:lang w:val="es-CO"/>
        </w:rPr>
        <w:footnoteReference w:id="22"/>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F52BA7" w:rsidP="009955F7">
      <w:pPr>
        <w:jc w:val="both"/>
        <w:rPr>
          <w:rFonts w:cs="Arial"/>
          <w:bCs/>
          <w:color w:val="auto"/>
          <w:szCs w:val="24"/>
          <w:lang w:val="es-CO"/>
        </w:rPr>
      </w:pPr>
      <w:r w:rsidRPr="004A4D88">
        <w:rPr>
          <w:rFonts w:cs="Arial"/>
          <w:bCs/>
          <w:color w:val="auto"/>
          <w:szCs w:val="24"/>
          <w:lang w:val="es-CO"/>
        </w:rPr>
        <w:lastRenderedPageBreak/>
        <w:t>“</w:t>
      </w:r>
      <w:r w:rsidR="009955F7" w:rsidRPr="004A4D88">
        <w:rPr>
          <w:rFonts w:cs="Arial"/>
          <w:bCs/>
          <w:color w:val="auto"/>
          <w:szCs w:val="24"/>
          <w:lang w:val="es-CO"/>
        </w:rPr>
        <w:t>Por lo menos hay una barrera en principios normativos frente a la pretensión de la administración pasada de abrir las plazas de mercado a grandes conglomerados económicos.</w:t>
      </w:r>
      <w:r w:rsidRPr="004A4D88">
        <w:rPr>
          <w:rFonts w:cs="Arial"/>
          <w:bCs/>
          <w:color w:val="auto"/>
          <w:szCs w:val="24"/>
          <w:lang w:val="es-CO"/>
        </w:rPr>
        <w:t>”</w:t>
      </w:r>
      <w:r w:rsidR="009955F7" w:rsidRPr="004A4D88">
        <w:rPr>
          <w:rFonts w:cs="Arial"/>
          <w:bCs/>
          <w:color w:val="auto"/>
          <w:szCs w:val="24"/>
          <w:lang w:val="es-CO"/>
        </w:rPr>
        <w:t xml:space="preserve"> </w:t>
      </w:r>
      <w:r w:rsidR="00662E3D" w:rsidRPr="004A4D88">
        <w:rPr>
          <w:rStyle w:val="Refdenotaalpie"/>
          <w:rFonts w:cs="Arial"/>
          <w:bCs/>
          <w:color w:val="auto"/>
          <w:szCs w:val="24"/>
          <w:lang w:val="es-CO"/>
        </w:rPr>
        <w:footnoteReference w:id="23"/>
      </w:r>
    </w:p>
    <w:p w:rsidR="009955F7" w:rsidRPr="004A4D88" w:rsidRDefault="009955F7" w:rsidP="009955F7">
      <w:pPr>
        <w:jc w:val="both"/>
        <w:rPr>
          <w:rFonts w:cs="Arial"/>
          <w:bCs/>
          <w:color w:val="auto"/>
          <w:szCs w:val="24"/>
          <w:lang w:val="es-CO"/>
        </w:rPr>
      </w:pPr>
    </w:p>
    <w:p w:rsidR="009955F7" w:rsidRPr="004A4D88" w:rsidRDefault="00662E3D" w:rsidP="009955F7">
      <w:pPr>
        <w:jc w:val="both"/>
        <w:rPr>
          <w:rFonts w:cs="Arial"/>
          <w:bCs/>
          <w:color w:val="auto"/>
          <w:szCs w:val="24"/>
          <w:lang w:val="es-CO"/>
        </w:rPr>
      </w:pPr>
      <w:r w:rsidRPr="004A4D88">
        <w:rPr>
          <w:rFonts w:cs="Arial"/>
          <w:b/>
          <w:bCs/>
          <w:color w:val="auto"/>
          <w:szCs w:val="24"/>
          <w:u w:val="single"/>
          <w:lang w:val="es-CO"/>
        </w:rPr>
        <w:t xml:space="preserve">De igual forma los  autores  señalan que  en </w:t>
      </w:r>
      <w:r w:rsidR="00710EA8" w:rsidRPr="004A4D88">
        <w:rPr>
          <w:rFonts w:cs="Arial"/>
          <w:b/>
          <w:bCs/>
          <w:color w:val="auto"/>
          <w:szCs w:val="24"/>
          <w:u w:val="single"/>
          <w:lang w:val="es-CO"/>
        </w:rPr>
        <w:t>“</w:t>
      </w:r>
      <w:r w:rsidRPr="004A4D88">
        <w:rPr>
          <w:rFonts w:cs="Arial"/>
          <w:bCs/>
          <w:color w:val="auto"/>
          <w:szCs w:val="24"/>
          <w:lang w:val="es-CO"/>
        </w:rPr>
        <w:t>e</w:t>
      </w:r>
      <w:r w:rsidR="009955F7" w:rsidRPr="004A4D88">
        <w:rPr>
          <w:rFonts w:cs="Arial"/>
          <w:bCs/>
          <w:color w:val="auto"/>
          <w:szCs w:val="24"/>
          <w:lang w:val="es-CO"/>
        </w:rPr>
        <w:t>l artículo 20 de la norma establece que en el protocolo que cada entidad expida se puede reglamentar de manera autónoma el término de duración de la autorización de aprovechamiento del espacio público, con lo que se supera una de las principales barreras que establecía la anterior regulación: la duración máxima de 1 año</w:t>
      </w:r>
      <w:r w:rsidR="00710EA8" w:rsidRPr="004A4D88">
        <w:rPr>
          <w:rFonts w:cs="Arial"/>
          <w:bCs/>
          <w:color w:val="auto"/>
          <w:szCs w:val="24"/>
          <w:lang w:val="es-CO"/>
        </w:rPr>
        <w:t>”</w:t>
      </w:r>
      <w:r w:rsidR="00710EA8" w:rsidRPr="004A4D88">
        <w:rPr>
          <w:rStyle w:val="Refdenotaalpie"/>
          <w:rFonts w:cs="Arial"/>
          <w:bCs/>
          <w:color w:val="auto"/>
          <w:szCs w:val="24"/>
          <w:lang w:val="es-CO"/>
        </w:rPr>
        <w:footnoteReference w:id="24"/>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9955F7" w:rsidRPr="004A4D88" w:rsidRDefault="00710EA8"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Otro escollo que se había presentado en el diálogo entre las y los comerciantes y la Administración eran las variables que hacían parte de la fórmula de retribución, lo cual eleva el costo de arrendamiento de los módulos en las plazas. Ahora, el artículo 29 le da absoluta libertad a cada entidad gestora para definir esa fórmula, más aún, el artículo 33 establece la posibilidad de formular retribuciones diferenciales en las plazas de mercado</w:t>
      </w:r>
      <w:r w:rsidRPr="004A4D88">
        <w:rPr>
          <w:rFonts w:cs="Arial"/>
          <w:bCs/>
          <w:color w:val="auto"/>
          <w:szCs w:val="24"/>
          <w:lang w:val="es-CO"/>
        </w:rPr>
        <w:t>”</w:t>
      </w:r>
      <w:r w:rsidRPr="004A4D88">
        <w:rPr>
          <w:rStyle w:val="Refdenotaalpie"/>
          <w:rFonts w:cs="Arial"/>
          <w:bCs/>
          <w:color w:val="auto"/>
          <w:szCs w:val="24"/>
          <w:lang w:val="es-CO"/>
        </w:rPr>
        <w:footnoteReference w:id="25"/>
      </w:r>
      <w:r w:rsidR="009955F7" w:rsidRPr="004A4D88">
        <w:rPr>
          <w:rFonts w:cs="Arial"/>
          <w:bCs/>
          <w:color w:val="auto"/>
          <w:szCs w:val="24"/>
          <w:lang w:val="es-CO"/>
        </w:rPr>
        <w:t>.</w:t>
      </w:r>
    </w:p>
    <w:p w:rsidR="009955F7" w:rsidRPr="004A4D88" w:rsidRDefault="009955F7" w:rsidP="009955F7">
      <w:pPr>
        <w:jc w:val="both"/>
        <w:rPr>
          <w:rFonts w:cs="Arial"/>
          <w:bCs/>
          <w:color w:val="auto"/>
          <w:szCs w:val="24"/>
          <w:lang w:val="es-CO"/>
        </w:rPr>
      </w:pPr>
      <w:r w:rsidRPr="004A4D88">
        <w:rPr>
          <w:rFonts w:cs="Arial"/>
          <w:bCs/>
          <w:color w:val="auto"/>
          <w:szCs w:val="24"/>
          <w:lang w:val="es-CO"/>
        </w:rPr>
        <w:t xml:space="preserve"> </w:t>
      </w:r>
    </w:p>
    <w:p w:rsidR="009955F7" w:rsidRPr="004A4D88" w:rsidRDefault="00710EA8" w:rsidP="009955F7">
      <w:pPr>
        <w:jc w:val="both"/>
        <w:rPr>
          <w:rFonts w:cs="Arial"/>
          <w:bCs/>
          <w:color w:val="auto"/>
          <w:szCs w:val="24"/>
          <w:lang w:val="es-CO"/>
        </w:rPr>
      </w:pPr>
      <w:r w:rsidRPr="004A4D88">
        <w:rPr>
          <w:rFonts w:cs="Arial"/>
          <w:bCs/>
          <w:color w:val="auto"/>
          <w:szCs w:val="24"/>
          <w:lang w:val="es-CO"/>
        </w:rPr>
        <w:t>“</w:t>
      </w:r>
      <w:r w:rsidR="009955F7" w:rsidRPr="004A4D88">
        <w:rPr>
          <w:rFonts w:cs="Arial"/>
          <w:bCs/>
          <w:color w:val="auto"/>
          <w:szCs w:val="24"/>
          <w:lang w:val="es-CO"/>
        </w:rPr>
        <w:t>Situaciones que se están gestando en un espacio de negociación con las vivanderos, vivanderos y comerciantes y del cual se prevé la generación de un instrumento de normalización que subsane las irregularidades históricas en la relación entre las y los comerciantes y la administración</w:t>
      </w:r>
      <w:r w:rsidRPr="004A4D88">
        <w:rPr>
          <w:rFonts w:cs="Arial"/>
          <w:bCs/>
          <w:color w:val="auto"/>
          <w:szCs w:val="24"/>
          <w:lang w:val="es-CO"/>
        </w:rPr>
        <w:t>”</w:t>
      </w:r>
      <w:r w:rsidRPr="004A4D88">
        <w:rPr>
          <w:rStyle w:val="Refdenotaalpie"/>
          <w:rFonts w:cs="Arial"/>
          <w:bCs/>
          <w:color w:val="auto"/>
          <w:szCs w:val="24"/>
          <w:lang w:val="es-CO"/>
        </w:rPr>
        <w:footnoteReference w:id="26"/>
      </w:r>
      <w:r w:rsidR="009955F7" w:rsidRPr="004A4D88">
        <w:rPr>
          <w:rFonts w:cs="Arial"/>
          <w:bCs/>
          <w:color w:val="auto"/>
          <w:szCs w:val="24"/>
          <w:lang w:val="es-CO"/>
        </w:rPr>
        <w:t xml:space="preserve">.  </w:t>
      </w:r>
    </w:p>
    <w:p w:rsidR="009955F7" w:rsidRPr="004A4D88" w:rsidRDefault="009955F7" w:rsidP="009955F7">
      <w:pPr>
        <w:jc w:val="both"/>
        <w:rPr>
          <w:rFonts w:cs="Arial"/>
          <w:bCs/>
          <w:color w:val="auto"/>
          <w:szCs w:val="24"/>
          <w:lang w:val="es-CO"/>
        </w:rPr>
      </w:pPr>
    </w:p>
    <w:p w:rsidR="00B7667F" w:rsidRPr="004A4D88" w:rsidRDefault="00A27483" w:rsidP="000D25DB">
      <w:pPr>
        <w:autoSpaceDE w:val="0"/>
        <w:autoSpaceDN w:val="0"/>
        <w:adjustRightInd w:val="0"/>
        <w:rPr>
          <w:rFonts w:cs="Arial"/>
          <w:b/>
          <w:szCs w:val="24"/>
          <w:lang w:val="es-CO"/>
        </w:rPr>
      </w:pPr>
      <w:r w:rsidRPr="004A4D88">
        <w:rPr>
          <w:rFonts w:cs="Arial"/>
          <w:b/>
          <w:szCs w:val="24"/>
          <w:lang w:val="es-CO"/>
        </w:rPr>
        <w:t>4.</w:t>
      </w:r>
      <w:r w:rsidR="00AC0008" w:rsidRPr="004A4D88">
        <w:rPr>
          <w:rFonts w:cs="Arial"/>
          <w:b/>
          <w:szCs w:val="24"/>
          <w:lang w:val="es-CO"/>
        </w:rPr>
        <w:t>MARCO JURÍDICO</w:t>
      </w:r>
    </w:p>
    <w:p w:rsidR="00B7667F" w:rsidRPr="004A4D88" w:rsidRDefault="00B7667F" w:rsidP="000D25DB">
      <w:pPr>
        <w:autoSpaceDE w:val="0"/>
        <w:autoSpaceDN w:val="0"/>
        <w:adjustRightInd w:val="0"/>
        <w:rPr>
          <w:rFonts w:cs="Arial"/>
          <w:b/>
          <w:szCs w:val="24"/>
          <w:lang w:val="es-CO"/>
        </w:rPr>
      </w:pPr>
    </w:p>
    <w:p w:rsidR="000224AF" w:rsidRPr="004A4D88" w:rsidRDefault="00403C44" w:rsidP="000224AF">
      <w:pPr>
        <w:jc w:val="both"/>
        <w:rPr>
          <w:rFonts w:cs="Arial"/>
          <w:b/>
          <w:bCs/>
          <w:color w:val="auto"/>
          <w:sz w:val="22"/>
          <w:szCs w:val="22"/>
          <w:lang w:val="es-CO"/>
        </w:rPr>
      </w:pPr>
      <w:r w:rsidRPr="004A4D88">
        <w:rPr>
          <w:rFonts w:cs="Arial"/>
          <w:b/>
          <w:bCs/>
          <w:color w:val="auto"/>
          <w:sz w:val="22"/>
          <w:szCs w:val="22"/>
          <w:lang w:val="es-CO"/>
        </w:rPr>
        <w:t>4.1</w:t>
      </w:r>
      <w:r w:rsidRPr="004A4D88">
        <w:rPr>
          <w:rFonts w:cs="Arial"/>
          <w:b/>
          <w:bCs/>
          <w:color w:val="auto"/>
          <w:sz w:val="22"/>
          <w:szCs w:val="22"/>
          <w:u w:val="single"/>
          <w:lang w:val="es-CO"/>
        </w:rPr>
        <w:t xml:space="preserve">. </w:t>
      </w:r>
      <w:r w:rsidR="000224AF" w:rsidRPr="004A4D88">
        <w:rPr>
          <w:rFonts w:cs="Arial"/>
          <w:b/>
          <w:bCs/>
          <w:color w:val="auto"/>
          <w:sz w:val="22"/>
          <w:szCs w:val="22"/>
          <w:u w:val="single"/>
          <w:lang w:val="es-CO"/>
        </w:rPr>
        <w:t>MARCO INTERNACIONAL</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OBJETIVOS DE DESARROLLO SOSTENIBLE</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
          <w:bCs/>
          <w:color w:val="auto"/>
          <w:sz w:val="22"/>
          <w:szCs w:val="22"/>
          <w:lang w:val="es-CO"/>
        </w:rPr>
        <w:t>ODS 8.</w:t>
      </w:r>
      <w:r w:rsidRPr="004A4D88">
        <w:rPr>
          <w:rFonts w:cs="Arial"/>
          <w:bCs/>
          <w:color w:val="auto"/>
          <w:sz w:val="22"/>
          <w:szCs w:val="22"/>
          <w:lang w:val="es-CO"/>
        </w:rPr>
        <w:t xml:space="preserve"> Promover el crecimiento económico sostenido, inclusivo y sostenible, el empleo pleno y productivo y el trabajo decente para todos</w:t>
      </w:r>
      <w:r w:rsidR="00403C44" w:rsidRPr="004A4D88">
        <w:rPr>
          <w:rFonts w:cs="Arial"/>
          <w:bCs/>
          <w:color w:val="auto"/>
          <w:sz w:val="22"/>
          <w:szCs w:val="22"/>
          <w:lang w:val="es-CO"/>
        </w:rPr>
        <w:t>.</w:t>
      </w:r>
    </w:p>
    <w:p w:rsidR="00403C44" w:rsidRPr="004A4D88" w:rsidRDefault="00403C44"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8.3 “Promover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
          <w:bCs/>
          <w:color w:val="auto"/>
          <w:sz w:val="22"/>
          <w:szCs w:val="22"/>
          <w:lang w:val="es-CO"/>
        </w:rPr>
        <w:lastRenderedPageBreak/>
        <w:t>CONVENIOS INTERNACIONALES DEL TRABAJO</w:t>
      </w:r>
      <w:r w:rsidRPr="004A4D88">
        <w:rPr>
          <w:rFonts w:cs="Arial"/>
          <w:bCs/>
          <w:color w:val="auto"/>
          <w:sz w:val="22"/>
          <w:szCs w:val="22"/>
          <w:lang w:val="es-CO"/>
        </w:rPr>
        <w:t xml:space="preserve"> - Adoptados por la Ley 23 de 1967 “Por la cual se aprueban varios Convenios Internacionales del Trabajo, adoptados por la Conferencia Internacional del Trabajo en las Reuniones 14ª (1930), 23ª (1937), 30ª (1947), 40ª (1957) y 45ª (1961)”</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 Organización Internacional del Trabajo -O.I.T.-, ha procurado generar en los Estados miembros un entorno normativo dedicado a proteger la economía informal, donde determina que esta se tenga en cuenta junto con las categorías de trabajadores que no son empleados, afirmando que la administración del trabajo debería abarcarlos progresivamente. El artículo 7º del mencionado Convenio establece:</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 fin de satisfacer las necesidades del mayor número posible de trabajadores, cuando lo exijan las condiciones nacionales, y en la medida en que la administración del trabajo no haya abarcado ya estas actividades, todo Miembro que ratifique el presente Convenio deberá promover, gradualmente si fuera necesario, la ampliación de las funciones del sistema de administración del trabajo, a fin de incluir actividades, que se llevarían a cabo en colaboración con otros organismos competentes, relativas a las condiciones de trabajo y de vida profesional de determinadas categorías de trabajadores que, a efectos jurídicos, no se pueden considerar personas en situación de empleo, tales como: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(d) las personas que trabajan según pautas establecidas por la costumbre o las tradiciones comunitarias.”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Dicho esto, la Corte Constitucional de Colombia hace una interpretación de acuerdo con el derecho al trabajo del que deben gozar los vendedores informales, y determina lo siguiente: </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las actividades de subsistencia de los vendedores informales, pretermitiendo la calidad de sujetos de especial protección por su condición de vulnerabilidad económica, sin que se advierta una justificación suficiente para el establecimiento de medidas policiales discriminatorias que desconocen la jurisprudencia constitucional.</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 ponderación entre el derecho al espacio público y el derecho al trabajo de los vendedores informales supone tener en cuenta que estos son considerados sujetos de especial protección debido a la condición de vulnerabilidad social y económica.”</w:t>
      </w:r>
    </w:p>
    <w:p w:rsidR="000224AF" w:rsidRPr="004A4D88" w:rsidRDefault="000224AF" w:rsidP="000224AF">
      <w:pPr>
        <w:jc w:val="both"/>
        <w:rPr>
          <w:rFonts w:cs="Arial"/>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4A4D88" w:rsidRPr="004A4D88" w:rsidRDefault="004A4D88" w:rsidP="000224AF">
      <w:pPr>
        <w:jc w:val="both"/>
        <w:rPr>
          <w:rFonts w:cs="Arial"/>
          <w:b/>
          <w:bCs/>
          <w:color w:val="auto"/>
          <w:sz w:val="22"/>
          <w:szCs w:val="22"/>
          <w:highlight w:val="yellow"/>
          <w:lang w:val="es-CO"/>
        </w:rPr>
      </w:pPr>
    </w:p>
    <w:p w:rsidR="00403C44" w:rsidRPr="004A4D88" w:rsidRDefault="00403C44" w:rsidP="000224AF">
      <w:pPr>
        <w:jc w:val="both"/>
        <w:rPr>
          <w:rFonts w:cs="Arial"/>
          <w:b/>
          <w:bCs/>
          <w:color w:val="auto"/>
          <w:sz w:val="22"/>
          <w:szCs w:val="22"/>
          <w:highlight w:val="yellow"/>
          <w:lang w:val="es-CO"/>
        </w:rPr>
      </w:pPr>
    </w:p>
    <w:p w:rsidR="000224AF" w:rsidRPr="004A4D88" w:rsidRDefault="00403C44" w:rsidP="000224AF">
      <w:pPr>
        <w:jc w:val="both"/>
        <w:rPr>
          <w:rFonts w:cs="Arial"/>
          <w:b/>
          <w:bCs/>
          <w:color w:val="auto"/>
          <w:sz w:val="22"/>
          <w:szCs w:val="22"/>
          <w:u w:val="single"/>
          <w:lang w:val="es-CO"/>
        </w:rPr>
      </w:pPr>
      <w:r w:rsidRPr="004A4D88">
        <w:rPr>
          <w:rFonts w:cs="Arial"/>
          <w:b/>
          <w:bCs/>
          <w:color w:val="auto"/>
          <w:sz w:val="22"/>
          <w:szCs w:val="22"/>
          <w:u w:val="single"/>
          <w:lang w:val="es-CO"/>
        </w:rPr>
        <w:lastRenderedPageBreak/>
        <w:t>4.</w:t>
      </w:r>
      <w:r w:rsidR="00D77F7D" w:rsidRPr="004A4D88">
        <w:rPr>
          <w:rFonts w:cs="Arial"/>
          <w:b/>
          <w:bCs/>
          <w:color w:val="auto"/>
          <w:sz w:val="22"/>
          <w:szCs w:val="22"/>
          <w:u w:val="single"/>
          <w:lang w:val="es-CO"/>
        </w:rPr>
        <w:t>2. MARCO</w:t>
      </w:r>
      <w:r w:rsidR="000224AF" w:rsidRPr="004A4D88">
        <w:rPr>
          <w:rFonts w:cs="Arial"/>
          <w:b/>
          <w:bCs/>
          <w:color w:val="auto"/>
          <w:sz w:val="22"/>
          <w:szCs w:val="22"/>
          <w:u w:val="single"/>
          <w:lang w:val="es-CO"/>
        </w:rPr>
        <w:t xml:space="preserve"> NACIONAL</w:t>
      </w:r>
    </w:p>
    <w:p w:rsidR="000224AF" w:rsidRPr="004A4D88" w:rsidRDefault="000224AF" w:rsidP="000224AF">
      <w:pPr>
        <w:jc w:val="both"/>
        <w:rPr>
          <w:rFonts w:cs="Arial"/>
          <w:b/>
          <w:bCs/>
          <w:color w:val="auto"/>
          <w:sz w:val="22"/>
          <w:szCs w:val="22"/>
          <w:lang w:val="es-CO"/>
        </w:rPr>
      </w:pPr>
    </w:p>
    <w:p w:rsidR="000224AF" w:rsidRPr="004A4D88" w:rsidRDefault="00403C44" w:rsidP="000224AF">
      <w:pPr>
        <w:jc w:val="both"/>
        <w:rPr>
          <w:rFonts w:cs="Arial"/>
          <w:b/>
          <w:bCs/>
          <w:color w:val="auto"/>
          <w:sz w:val="22"/>
          <w:szCs w:val="22"/>
          <w:lang w:val="es-CO"/>
        </w:rPr>
      </w:pPr>
      <w:r w:rsidRPr="004A4D88">
        <w:rPr>
          <w:rFonts w:cs="Arial"/>
          <w:b/>
          <w:bCs/>
          <w:color w:val="auto"/>
          <w:sz w:val="22"/>
          <w:szCs w:val="22"/>
          <w:lang w:val="es-CO"/>
        </w:rPr>
        <w:t>4.2.1.</w:t>
      </w:r>
      <w:r w:rsidR="000224AF" w:rsidRPr="004A4D88">
        <w:rPr>
          <w:rFonts w:cs="Arial"/>
          <w:b/>
          <w:bCs/>
          <w:color w:val="auto"/>
          <w:sz w:val="22"/>
          <w:szCs w:val="22"/>
          <w:lang w:val="es-CO"/>
        </w:rPr>
        <w:t>CONSTITUCIÓN POLÍTICA</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321670" w:rsidRPr="004A4D88" w:rsidRDefault="00321670"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rsidR="00321670" w:rsidRPr="004A4D88" w:rsidRDefault="00321670"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El Estado promoverá las condiciones para que la igualdad sea real y efectiva y adoptará medidas en favor de grupos discriminados o marginados.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25. “El trabajo es un derecho y una obligación social y goza, en todas sus modalidades, de la especial protección del Estado. Toda persona tiene derecho a un trabajo en condiciones dignas y justas.”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88. “La ley regulará las acciones populares para la protección de los derechos e intereses colectivos, relacionados con el patrimonio, el espacio, la seguridad y la salubridad públicos, la moral administrativa, el ambiente, la libre competencia económica y otros de similar naturaleza que se definen en ella.</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209.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Las autoridades administrativas deben coordinar sus actuaciones para el adecuado cumplimiento de los fines del Estado. La administración pública, en todos sus órdenes, tendrá un control interno que se ejercerá en los términos que señale la ley”.</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313. “Corresponde a los concejos.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 Reglamentar las funciones y la eficiente prestación de los servicios a cargo del municipio.</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2. Adoptar los correspondientes planes y programas de desarrollo económico y social y de obras públicas.</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w:t>
      </w:r>
    </w:p>
    <w:p w:rsidR="000224AF" w:rsidRPr="004A4D88" w:rsidRDefault="000224AF" w:rsidP="000224AF">
      <w:pPr>
        <w:jc w:val="both"/>
        <w:rPr>
          <w:rFonts w:cs="Arial"/>
          <w:bCs/>
          <w:color w:val="auto"/>
          <w:sz w:val="22"/>
          <w:szCs w:val="22"/>
          <w:highlight w:val="yellow"/>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334. “(...) 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 (...).</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La sostenibilidad fiscal debe orientar a las Ramas y Órganos del Poder Público, dentro de sus competencias, en un marco de colaboración armónica.”</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
          <w:bCs/>
          <w:color w:val="auto"/>
          <w:sz w:val="22"/>
          <w:szCs w:val="22"/>
          <w:lang w:val="es-CO"/>
        </w:rPr>
      </w:pPr>
      <w:r w:rsidRPr="004A4D88">
        <w:rPr>
          <w:rFonts w:cs="Arial"/>
          <w:b/>
          <w:bCs/>
          <w:color w:val="auto"/>
          <w:sz w:val="22"/>
          <w:szCs w:val="22"/>
          <w:lang w:val="es-CO"/>
        </w:rPr>
        <w:t xml:space="preserve">4.2.2. </w:t>
      </w:r>
      <w:r w:rsidR="000224AF" w:rsidRPr="004A4D88">
        <w:rPr>
          <w:rFonts w:cs="Arial"/>
          <w:b/>
          <w:bCs/>
          <w:color w:val="auto"/>
          <w:sz w:val="22"/>
          <w:szCs w:val="22"/>
          <w:lang w:val="es-CO"/>
        </w:rPr>
        <w:t>LEYES</w:t>
      </w:r>
    </w:p>
    <w:p w:rsidR="000224AF" w:rsidRPr="004A4D88" w:rsidRDefault="000224AF" w:rsidP="000224AF">
      <w:pPr>
        <w:jc w:val="both"/>
        <w:rPr>
          <w:rFonts w:cs="Arial"/>
          <w:b/>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4.2.2.1 </w:t>
      </w:r>
      <w:r w:rsidR="000224AF" w:rsidRPr="004A4D88">
        <w:rPr>
          <w:rFonts w:cs="Arial"/>
          <w:bCs/>
          <w:color w:val="auto"/>
          <w:sz w:val="22"/>
          <w:szCs w:val="22"/>
          <w:lang w:val="es-CO"/>
        </w:rPr>
        <w:t>Ley 29 de 1963</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derogan unas exenciones de impuestos”</w:t>
      </w:r>
    </w:p>
    <w:p w:rsidR="000224AF" w:rsidRPr="004A4D88" w:rsidRDefault="000224AF" w:rsidP="000224AF">
      <w:pPr>
        <w:jc w:val="both"/>
        <w:rPr>
          <w:rFonts w:cs="Arial"/>
          <w:bCs/>
          <w:color w:val="auto"/>
          <w:sz w:val="22"/>
          <w:szCs w:val="22"/>
          <w:lang w:val="es-CO"/>
        </w:rPr>
      </w:pPr>
    </w:p>
    <w:p w:rsidR="00D77F7D"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Artículo 1. “Los patrimonios y las rentas de los Municipios y del Distrito Especial de Bogotá son de su propiedad exclusiva y gozan de las mismas garantías que los de los particulares. </w:t>
      </w:r>
    </w:p>
    <w:p w:rsidR="00D77F7D" w:rsidRPr="004A4D88" w:rsidRDefault="00D77F7D"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En consecuencia, sólo los Concejos Municipales y el Concejo Distrital podrán decretar exenciones o exoneraciones de los impuestos o contribuciones que por la Constitución, la ley y las ordenanzas les corresponden (...)”</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4.2.2.2 </w:t>
      </w:r>
      <w:r w:rsidR="000224AF" w:rsidRPr="004A4D88">
        <w:rPr>
          <w:rFonts w:cs="Arial"/>
          <w:bCs/>
          <w:color w:val="auto"/>
          <w:sz w:val="22"/>
          <w:szCs w:val="22"/>
          <w:lang w:val="es-CO"/>
        </w:rPr>
        <w:t>Ley 14 de 1983</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fortalecen los fiscos de las entidades territoriales y se dictan otras disposiciones”</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38. “Los municipios sólo podrán otorgar exenciones de impuestos municipales por plazo limitado, que en ningún caso excederá de diez años, todo de conformidad con los planes de desarrollo municipal.”</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4.2.2.3 </w:t>
      </w:r>
      <w:r w:rsidR="000224AF" w:rsidRPr="004A4D88">
        <w:rPr>
          <w:rFonts w:cs="Arial"/>
          <w:bCs/>
          <w:color w:val="auto"/>
          <w:sz w:val="22"/>
          <w:szCs w:val="22"/>
          <w:lang w:val="es-CO"/>
        </w:rPr>
        <w:t>Ley 901 de 2004</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medio de la cual se prorroga la vigencia de la Ley 716 de 2001, prorrogada y modificada por la Ley 863 de 2003 y se modifican algunas de sus disposiciones”</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4. Depuración de saldos contables. “Las entidades públicas llevarán a cabo las gestiones necesarias que permitan depurar los valores contables que resulten de la actuación anterior, cuando corresponda a alguna de las siguientes condiciones: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f) Cuando evaluada y establecida la relación costo beneficio resulte más oneroso adelantar el proceso de que se trate;</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Parágrafo 1°. Para efectos del cumplimiento de lo dispuesto en esta ley, las entidades podrán contratar la realización del proceso de depuración contable con contadores públicos, firmas de contadores o con universidades que tengan facultad de contaduría pública debidamente reconocida por el Gobierno Nacional.</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highlight w:val="yellow"/>
          <w:lang w:val="es-CO"/>
        </w:rPr>
      </w:pPr>
    </w:p>
    <w:p w:rsidR="000224AF" w:rsidRPr="004A4D88" w:rsidRDefault="00D77F7D" w:rsidP="000224AF">
      <w:pPr>
        <w:jc w:val="both"/>
        <w:rPr>
          <w:rFonts w:cs="Arial"/>
          <w:bCs/>
          <w:color w:val="auto"/>
          <w:sz w:val="22"/>
          <w:szCs w:val="22"/>
          <w:lang w:val="es-CO"/>
        </w:rPr>
      </w:pPr>
      <w:r w:rsidRPr="004A4D88">
        <w:rPr>
          <w:rFonts w:cs="Arial"/>
          <w:bCs/>
          <w:color w:val="auto"/>
          <w:sz w:val="22"/>
          <w:szCs w:val="22"/>
          <w:lang w:val="es-CO"/>
        </w:rPr>
        <w:t xml:space="preserve">4.2.2.4 </w:t>
      </w:r>
      <w:r w:rsidR="000224AF" w:rsidRPr="004A4D88">
        <w:rPr>
          <w:rFonts w:cs="Arial"/>
          <w:bCs/>
          <w:color w:val="auto"/>
          <w:sz w:val="22"/>
          <w:szCs w:val="22"/>
          <w:lang w:val="es-CO"/>
        </w:rPr>
        <w:t>Ley 1066 de 2006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dictan normas para la normalización de la cartera pública y se dictan otras disposiciones”</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 “Obligaciones de las entidades públicas que tengan cartera a su favor. Cada una de las entidades públicas que de manera permanente tengan a su cargo el ejercicio de las actividades y funciones administrativas o la prestación de servicios del Estado y que dentro de estas tengan que recaudar rentas o caudales públicos del nivel nacional o territorial deberán:</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 Establecer mediante normatividad de carácter general, por parte de la máxima autoridad o representante legal de la entidad pública, el Reglamento Interno del Recaudo de Cartera, con sujeción a lo dispuesto en la presente ley, el cual deberá incluir las condiciones relativas a la celebración de acuerdos de pago.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19. “Para efecto de los procesos de saneamiento contable de las cuentas por cobrar, de cartera y asimiladas, las entidades públicas destinatarias de la presente ley, podrán contratar con firmas auditoras de reconocida experiencia y que cumplan con los parámetros que para tal efecto defina el Gobierno Nacional, para que estas revisen, validen y emitan concepto sobre la gestión adelantada frente a cada obligación y, en consecuencia, sobre la procedencia de adoptar las recomendaciones de saneamiento”.</w:t>
      </w:r>
    </w:p>
    <w:p w:rsidR="000224AF" w:rsidRPr="004A4D88" w:rsidRDefault="000224AF" w:rsidP="000224AF">
      <w:pPr>
        <w:jc w:val="both"/>
        <w:rPr>
          <w:rFonts w:cs="Arial"/>
          <w:bCs/>
          <w:color w:val="auto"/>
          <w:sz w:val="22"/>
          <w:szCs w:val="22"/>
          <w:highlight w:val="yellow"/>
          <w:lang w:val="es-CO"/>
        </w:rPr>
      </w:pPr>
    </w:p>
    <w:p w:rsidR="00D77F7D" w:rsidRPr="004A4D88" w:rsidRDefault="00D77F7D" w:rsidP="000224AF">
      <w:pPr>
        <w:jc w:val="both"/>
        <w:rPr>
          <w:rFonts w:cs="Arial"/>
          <w:b/>
          <w:bCs/>
          <w:color w:val="auto"/>
          <w:sz w:val="22"/>
          <w:szCs w:val="22"/>
          <w:highlight w:val="yellow"/>
          <w:lang w:val="es-CO"/>
        </w:rPr>
      </w:pPr>
    </w:p>
    <w:p w:rsidR="000224AF" w:rsidRPr="004A4D88" w:rsidRDefault="00FD2427" w:rsidP="000224AF">
      <w:pPr>
        <w:jc w:val="both"/>
        <w:rPr>
          <w:rFonts w:cs="Arial"/>
          <w:b/>
          <w:bCs/>
          <w:color w:val="auto"/>
          <w:sz w:val="22"/>
          <w:szCs w:val="22"/>
          <w:lang w:val="es-CO"/>
        </w:rPr>
      </w:pPr>
      <w:r w:rsidRPr="004A4D88">
        <w:rPr>
          <w:rFonts w:cs="Arial"/>
          <w:b/>
          <w:bCs/>
          <w:color w:val="auto"/>
          <w:sz w:val="22"/>
          <w:szCs w:val="22"/>
          <w:lang w:val="es-CO"/>
        </w:rPr>
        <w:t>4.2.3</w:t>
      </w:r>
      <w:r w:rsidR="00D77F7D" w:rsidRPr="004A4D88">
        <w:rPr>
          <w:rFonts w:cs="Arial"/>
          <w:b/>
          <w:bCs/>
          <w:color w:val="auto"/>
          <w:sz w:val="22"/>
          <w:szCs w:val="22"/>
          <w:lang w:val="es-CO"/>
        </w:rPr>
        <w:t xml:space="preserve"> </w:t>
      </w:r>
      <w:r w:rsidR="000224AF" w:rsidRPr="004A4D88">
        <w:rPr>
          <w:rFonts w:cs="Arial"/>
          <w:b/>
          <w:bCs/>
          <w:color w:val="auto"/>
          <w:sz w:val="22"/>
          <w:szCs w:val="22"/>
          <w:lang w:val="es-CO"/>
        </w:rPr>
        <w:t>DECRETOS</w:t>
      </w:r>
    </w:p>
    <w:p w:rsidR="000224AF" w:rsidRPr="004A4D88" w:rsidRDefault="00D77F7D" w:rsidP="000224AF">
      <w:pPr>
        <w:jc w:val="both"/>
        <w:rPr>
          <w:rFonts w:cs="Arial"/>
          <w:b/>
          <w:bCs/>
          <w:color w:val="auto"/>
          <w:sz w:val="22"/>
          <w:szCs w:val="22"/>
          <w:highlight w:val="yellow"/>
          <w:lang w:val="es-CO"/>
        </w:rPr>
      </w:pPr>
      <w:r w:rsidRPr="004A4D88">
        <w:rPr>
          <w:rFonts w:cs="Arial"/>
          <w:b/>
          <w:bCs/>
          <w:color w:val="auto"/>
          <w:sz w:val="22"/>
          <w:szCs w:val="22"/>
          <w:highlight w:val="yellow"/>
          <w:lang w:val="es-CO"/>
        </w:rPr>
        <w:t xml:space="preserve"> </w:t>
      </w:r>
    </w:p>
    <w:p w:rsidR="000224AF" w:rsidRDefault="00FD2427" w:rsidP="000224AF">
      <w:pPr>
        <w:jc w:val="both"/>
        <w:rPr>
          <w:rFonts w:cs="Arial"/>
          <w:bCs/>
          <w:color w:val="auto"/>
          <w:sz w:val="22"/>
          <w:szCs w:val="22"/>
          <w:lang w:val="es-CO"/>
        </w:rPr>
      </w:pPr>
      <w:r w:rsidRPr="004A4D88">
        <w:rPr>
          <w:rFonts w:cs="Arial"/>
          <w:b/>
          <w:bCs/>
          <w:color w:val="auto"/>
          <w:sz w:val="22"/>
          <w:szCs w:val="22"/>
          <w:lang w:val="es-CO"/>
        </w:rPr>
        <w:t xml:space="preserve">4.2.3.1 </w:t>
      </w:r>
      <w:r w:rsidR="000224AF" w:rsidRPr="004A4D88">
        <w:rPr>
          <w:rFonts w:cs="Arial"/>
          <w:bCs/>
          <w:color w:val="auto"/>
          <w:sz w:val="22"/>
          <w:szCs w:val="22"/>
          <w:lang w:val="es-CO"/>
        </w:rPr>
        <w:t>Decreto 4473 de 2006</w:t>
      </w:r>
    </w:p>
    <w:p w:rsidR="00AB4FDB" w:rsidRDefault="00AB4FDB" w:rsidP="000224AF">
      <w:pPr>
        <w:jc w:val="both"/>
        <w:rPr>
          <w:rFonts w:cs="Arial"/>
          <w:bCs/>
          <w:color w:val="auto"/>
          <w:sz w:val="22"/>
          <w:szCs w:val="22"/>
          <w:lang w:val="es-CO"/>
        </w:rPr>
      </w:pPr>
    </w:p>
    <w:p w:rsidR="00AB4FDB" w:rsidRPr="004A4D88" w:rsidRDefault="00AB4FDB"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lastRenderedPageBreak/>
        <w:t>“Por el cual se reglamenta la Ley 1066 de 2006”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Reglamento interno del recaudo de cartera. “El reglamento interno previsto en el numeral 1 del artículo 2° de la Ley 1066 de 2006, deberá ser expedido a través de normatividad de carácter general, en el orden nacional y territorial por los representantes legales de cada entidad”.</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 Contenido mínimo del reglamento interno del recaudo de cartera. “El Reglamento Interno del Recaudo de Cartera a que hace referencia el artículo 1° del presente decreto deberá contener como mínimo los siguientes aspectos: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 Funcionario competente para adelantar el trámite de recaudo de cartera en la etapa persuasiva y coactiva, de acuerdo con la estructura funcional interna de la entidad.</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2. Establecimiento de las etapas del recaudo de cartera, persuasiva y coactiva.</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3. Determinación de los criterios para la clasificación de la cartera sujeta al procedimiento de cobro coactivo, en términos relativos a la cuantía, antigüedad, naturaleza de la obligación y condiciones particulares del deudor entre otras”.</w:t>
      </w:r>
    </w:p>
    <w:p w:rsidR="000224AF" w:rsidRPr="004A4D88" w:rsidRDefault="000224AF" w:rsidP="000224AF">
      <w:pPr>
        <w:jc w:val="both"/>
        <w:rPr>
          <w:rFonts w:cs="Arial"/>
          <w:bCs/>
          <w:color w:val="auto"/>
          <w:sz w:val="22"/>
          <w:szCs w:val="22"/>
          <w:highlight w:val="yellow"/>
          <w:lang w:val="es-CO"/>
        </w:rPr>
      </w:pPr>
    </w:p>
    <w:p w:rsidR="000224AF" w:rsidRPr="004A4D88" w:rsidRDefault="000224AF" w:rsidP="000224AF">
      <w:pPr>
        <w:jc w:val="both"/>
        <w:rPr>
          <w:rFonts w:cs="Arial"/>
          <w:bCs/>
          <w:color w:val="auto"/>
          <w:sz w:val="22"/>
          <w:szCs w:val="22"/>
          <w:lang w:val="es-CO"/>
        </w:rPr>
      </w:pPr>
    </w:p>
    <w:p w:rsidR="000224AF" w:rsidRPr="004A4D88" w:rsidRDefault="00FD2427" w:rsidP="000224AF">
      <w:pPr>
        <w:jc w:val="both"/>
        <w:rPr>
          <w:rFonts w:cs="Arial"/>
          <w:b/>
          <w:bCs/>
          <w:color w:val="auto"/>
          <w:sz w:val="22"/>
          <w:szCs w:val="22"/>
          <w:lang w:val="es-CO"/>
        </w:rPr>
      </w:pPr>
      <w:r w:rsidRPr="004A4D88">
        <w:rPr>
          <w:rFonts w:cs="Arial"/>
          <w:b/>
          <w:bCs/>
          <w:color w:val="auto"/>
          <w:sz w:val="22"/>
          <w:szCs w:val="22"/>
          <w:lang w:val="es-CO"/>
        </w:rPr>
        <w:t xml:space="preserve">4.2.4. </w:t>
      </w:r>
      <w:r w:rsidR="000224AF" w:rsidRPr="004A4D88">
        <w:rPr>
          <w:rFonts w:cs="Arial"/>
          <w:bCs/>
          <w:color w:val="auto"/>
          <w:sz w:val="22"/>
          <w:szCs w:val="22"/>
          <w:lang w:val="es-CO"/>
        </w:rPr>
        <w:t>Resolución 193 de 2016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la cual se Incorpora, en los Procedimientos Transversales del Régimen de Contabilidad Pública, el Procedimiento para la evaluación del control interno contable”</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“Incorpórese, en los Procedimientos Transversales del Régimen de Contabilidad Pública, el Procedimiento para la evaluación del control interno contable, con el fin de medir la efectividad de las acciones mínimas de control que deben realizar los responsables de la información financiera de las entidades públicas y garantizar, razonablemente, la producción de información financiera con las características fundamentales de relevancia y representación fiel, definidas en el marco conceptual del marco normativo que le sea aplicable a la entidad, de acuerdo con lo establecido en el Régimen de Contabilidad Pública. El Procedimiento para la evaluación del control interno contable quedará como se indica en el anexo de la presente Resolución”.</w:t>
      </w:r>
    </w:p>
    <w:p w:rsidR="000224AF" w:rsidRPr="004A4D88" w:rsidRDefault="000224AF" w:rsidP="000224AF">
      <w:pPr>
        <w:jc w:val="both"/>
        <w:rPr>
          <w:rFonts w:cs="Arial"/>
          <w:bCs/>
          <w:color w:val="auto"/>
          <w:sz w:val="22"/>
          <w:szCs w:val="22"/>
          <w:lang w:val="es-CO"/>
        </w:rPr>
      </w:pPr>
    </w:p>
    <w:p w:rsidR="000224AF" w:rsidRPr="004A4D88" w:rsidRDefault="00FD2427" w:rsidP="000224AF">
      <w:pPr>
        <w:jc w:val="both"/>
        <w:rPr>
          <w:rFonts w:cs="Arial"/>
          <w:b/>
          <w:bCs/>
          <w:color w:val="auto"/>
          <w:sz w:val="22"/>
          <w:szCs w:val="22"/>
          <w:lang w:val="es-CO"/>
        </w:rPr>
      </w:pPr>
      <w:r w:rsidRPr="004A4D88">
        <w:rPr>
          <w:rFonts w:cs="Arial"/>
          <w:b/>
          <w:bCs/>
          <w:color w:val="auto"/>
          <w:sz w:val="22"/>
          <w:szCs w:val="22"/>
          <w:lang w:val="es-CO"/>
        </w:rPr>
        <w:t xml:space="preserve">4.3 </w:t>
      </w:r>
      <w:r w:rsidR="000224AF" w:rsidRPr="004A4D88">
        <w:rPr>
          <w:rFonts w:cs="Arial"/>
          <w:b/>
          <w:bCs/>
          <w:color w:val="auto"/>
          <w:sz w:val="22"/>
          <w:szCs w:val="22"/>
          <w:u w:val="single"/>
          <w:lang w:val="es-CO"/>
        </w:rPr>
        <w:t>MARCO DISTRITAL</w:t>
      </w:r>
      <w:r w:rsidR="000224AF" w:rsidRPr="004A4D88">
        <w:rPr>
          <w:rFonts w:cs="Arial"/>
          <w:b/>
          <w:bCs/>
          <w:color w:val="auto"/>
          <w:sz w:val="22"/>
          <w:szCs w:val="22"/>
          <w:lang w:val="es-CO"/>
        </w:rPr>
        <w:t xml:space="preserve"> </w:t>
      </w:r>
    </w:p>
    <w:p w:rsidR="000224AF" w:rsidRPr="004A4D88" w:rsidRDefault="000224AF" w:rsidP="000224AF">
      <w:pPr>
        <w:jc w:val="both"/>
        <w:rPr>
          <w:rFonts w:cs="Arial"/>
          <w:b/>
          <w:bCs/>
          <w:color w:val="auto"/>
          <w:sz w:val="22"/>
          <w:szCs w:val="22"/>
          <w:lang w:val="es-CO"/>
        </w:rPr>
      </w:pPr>
    </w:p>
    <w:p w:rsidR="000224AF" w:rsidRPr="004A4D88" w:rsidRDefault="00FD2427" w:rsidP="000224AF">
      <w:pPr>
        <w:jc w:val="both"/>
        <w:rPr>
          <w:rFonts w:cs="Arial"/>
          <w:bCs/>
          <w:color w:val="auto"/>
          <w:sz w:val="22"/>
          <w:szCs w:val="22"/>
          <w:lang w:val="es-CO"/>
        </w:rPr>
      </w:pPr>
      <w:r w:rsidRPr="004A4D88">
        <w:rPr>
          <w:rFonts w:cs="Arial"/>
          <w:bCs/>
          <w:color w:val="auto"/>
          <w:sz w:val="22"/>
          <w:szCs w:val="22"/>
          <w:lang w:val="es-CO"/>
        </w:rPr>
        <w:t xml:space="preserve">4.3.1. </w:t>
      </w:r>
      <w:r w:rsidR="000224AF" w:rsidRPr="004A4D88">
        <w:rPr>
          <w:rFonts w:cs="Arial"/>
          <w:bCs/>
          <w:color w:val="auto"/>
          <w:sz w:val="22"/>
          <w:szCs w:val="22"/>
          <w:lang w:val="es-CO"/>
        </w:rPr>
        <w:t>DECRETOS</w:t>
      </w:r>
    </w:p>
    <w:p w:rsidR="000224AF" w:rsidRPr="004A4D88" w:rsidRDefault="000224AF" w:rsidP="000224AF">
      <w:pPr>
        <w:jc w:val="both"/>
        <w:rPr>
          <w:rFonts w:cs="Arial"/>
          <w:bCs/>
          <w:color w:val="auto"/>
          <w:sz w:val="22"/>
          <w:szCs w:val="22"/>
          <w:lang w:val="es-CO"/>
        </w:rPr>
      </w:pPr>
    </w:p>
    <w:p w:rsidR="000224AF" w:rsidRPr="004A4D88" w:rsidRDefault="00FD2427" w:rsidP="000224AF">
      <w:pPr>
        <w:jc w:val="both"/>
        <w:rPr>
          <w:rFonts w:cs="Arial"/>
          <w:bCs/>
          <w:color w:val="auto"/>
          <w:sz w:val="22"/>
          <w:szCs w:val="22"/>
          <w:lang w:val="es-CO"/>
        </w:rPr>
      </w:pPr>
      <w:r w:rsidRPr="004A4D88">
        <w:rPr>
          <w:rFonts w:cs="Arial"/>
          <w:bCs/>
          <w:color w:val="auto"/>
          <w:sz w:val="22"/>
          <w:szCs w:val="22"/>
          <w:lang w:val="es-CO"/>
        </w:rPr>
        <w:t xml:space="preserve">4.3.1.1. </w:t>
      </w:r>
      <w:r w:rsidR="000224AF" w:rsidRPr="004A4D88">
        <w:rPr>
          <w:rFonts w:cs="Arial"/>
          <w:bCs/>
          <w:color w:val="auto"/>
          <w:sz w:val="22"/>
          <w:szCs w:val="22"/>
          <w:lang w:val="es-CO"/>
        </w:rPr>
        <w:t>Decreto 397 de 2011</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el cual se establece el Reglamento Interno del Recaudo de Cartera en el Distrito Capital y se dictan otras disposiciones”</w:t>
      </w:r>
    </w:p>
    <w:p w:rsidR="000224AF" w:rsidRPr="004A4D88" w:rsidRDefault="000224AF" w:rsidP="000224AF">
      <w:pPr>
        <w:jc w:val="both"/>
        <w:rPr>
          <w:rFonts w:cs="Arial"/>
          <w:bCs/>
          <w:color w:val="auto"/>
          <w:sz w:val="22"/>
          <w:szCs w:val="22"/>
          <w:highlight w:val="yellow"/>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Artículo 4. Competencias para ordenar la depuración contable y saneamiento de cartera. “Para ordenar la depuración contable y saneamiento de cartera y en los casos en que se determine su difícil cobro o cuando se compruebe que la relación costo-beneficio para la determinación y/o cobro sea desfavorable para las finanzas distritales en el Sector Central y en las Localidades, son competentes los siguientes servidores, conforme a la estructura de cada entidad u organismo: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c) En las entidades de la Administración Central, la competencia funcional para ordenar la depuración contable y saneamiento de cartera originada en conceptos diferentes a impuestos distritales es de los (as) Secretarios (as) de Despacho, los (as) Directores (as) de Departamento Administrativo y de Unidades Administrativas Especiales sin personería jurídica o sus delegados del nivel directivo, previo análisis y recomendación del Comité que para el efecto se conforme”.</w:t>
      </w:r>
    </w:p>
    <w:p w:rsidR="000224AF" w:rsidRPr="004A4D88" w:rsidRDefault="000224AF" w:rsidP="000224AF">
      <w:pPr>
        <w:jc w:val="both"/>
        <w:rPr>
          <w:rFonts w:cs="Arial"/>
          <w:bCs/>
          <w:color w:val="auto"/>
          <w:sz w:val="22"/>
          <w:szCs w:val="22"/>
          <w:lang w:val="es-CO"/>
        </w:rPr>
      </w:pPr>
    </w:p>
    <w:p w:rsidR="000224AF" w:rsidRPr="004A4D88" w:rsidRDefault="00E91CAC" w:rsidP="000224AF">
      <w:pPr>
        <w:jc w:val="both"/>
        <w:rPr>
          <w:rFonts w:cs="Arial"/>
          <w:bCs/>
          <w:color w:val="auto"/>
          <w:sz w:val="22"/>
          <w:szCs w:val="22"/>
          <w:lang w:val="es-CO"/>
        </w:rPr>
      </w:pPr>
      <w:r w:rsidRPr="004A4D88">
        <w:rPr>
          <w:rFonts w:cs="Arial"/>
          <w:bCs/>
          <w:color w:val="auto"/>
          <w:sz w:val="22"/>
          <w:szCs w:val="22"/>
          <w:lang w:val="es-CO"/>
        </w:rPr>
        <w:t xml:space="preserve">4.3.1.2 </w:t>
      </w:r>
      <w:r w:rsidR="000224AF" w:rsidRPr="004A4D88">
        <w:rPr>
          <w:rFonts w:cs="Arial"/>
          <w:bCs/>
          <w:color w:val="auto"/>
          <w:sz w:val="22"/>
          <w:szCs w:val="22"/>
          <w:lang w:val="es-CO"/>
        </w:rPr>
        <w:t>Decreto 556 de 2021</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 xml:space="preserve">“Por medio del cual se adopta el Plan Maestro de Acciones Judiciales para la Recuperación del Patrimonio del Distrito Capital” </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  </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20. Responsabilidades de los Comités de Conciliación de las entidades y organismos distritales. “Los Comités de Conciliación de las entidades y organismos distritales, en el marco de las funciones de diseñar las políticas generales para la orientación de la defensa de los intereses de la entidad y fijar directrices institucionales para la aplicación de los mecanismos alternativos de solución de conflictos, tales como la transacción y la conciliación (...)”</w:t>
      </w:r>
    </w:p>
    <w:p w:rsidR="000224AF" w:rsidRPr="004A4D88" w:rsidRDefault="000224AF" w:rsidP="000224AF">
      <w:pPr>
        <w:jc w:val="both"/>
        <w:rPr>
          <w:rFonts w:cs="Arial"/>
          <w:bCs/>
          <w:color w:val="auto"/>
          <w:sz w:val="22"/>
          <w:szCs w:val="22"/>
          <w:highlight w:val="yellow"/>
          <w:lang w:val="es-CO"/>
        </w:rPr>
      </w:pPr>
    </w:p>
    <w:p w:rsidR="000224AF" w:rsidRPr="004A4D88" w:rsidRDefault="00E91CAC" w:rsidP="000224AF">
      <w:pPr>
        <w:jc w:val="both"/>
        <w:rPr>
          <w:rFonts w:cs="Arial"/>
          <w:bCs/>
          <w:color w:val="auto"/>
          <w:sz w:val="22"/>
          <w:szCs w:val="22"/>
          <w:lang w:val="es-CO"/>
        </w:rPr>
      </w:pPr>
      <w:r w:rsidRPr="004A4D88">
        <w:rPr>
          <w:rFonts w:cs="Arial"/>
          <w:bCs/>
          <w:color w:val="auto"/>
          <w:sz w:val="22"/>
          <w:szCs w:val="22"/>
          <w:lang w:val="es-CO"/>
        </w:rPr>
        <w:t xml:space="preserve">4.3.1.3 </w:t>
      </w:r>
      <w:r w:rsidR="000224AF" w:rsidRPr="004A4D88">
        <w:rPr>
          <w:rFonts w:cs="Arial"/>
          <w:bCs/>
          <w:color w:val="auto"/>
          <w:sz w:val="22"/>
          <w:szCs w:val="22"/>
          <w:lang w:val="es-CO"/>
        </w:rPr>
        <w:t>Decreto 315 de 2024</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medio del cual se reglamentan los artículos 147 y 549 del Decreto Distrital 555 de 2021, en lo que tiene que ver con el aprovechamiento económico del espacio público y la explotación económica de la infraestructura pública en el Distrito Capital, y se dictan otras disposiciones”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1.  Objeto. “Reglamentar el aprovechamiento económico del Espacio Público y la explotación económica de la infraestructura pública en el Distrital Capital, así como, prevenir su ocupación indebida, con el propósito de garantizar su integridad, y asegurar su uso, goce, disfrute y beneficio por parte de la ciudadanía, en consonancia con los principios de acceso universal e igualdad de oportunidades, a través de:</w:t>
      </w:r>
    </w:p>
    <w:p w:rsidR="000224AF" w:rsidRPr="004A4D88" w:rsidRDefault="000224AF" w:rsidP="000224AF">
      <w:pPr>
        <w:jc w:val="both"/>
        <w:rPr>
          <w:rFonts w:cs="Arial"/>
          <w:bCs/>
          <w:color w:val="auto"/>
          <w:sz w:val="22"/>
          <w:szCs w:val="22"/>
          <w:lang w:val="es-CO"/>
        </w:rPr>
      </w:pPr>
    </w:p>
    <w:p w:rsidR="000224AF" w:rsidRPr="004A4D88" w:rsidRDefault="000224AF" w:rsidP="000224AF">
      <w:pPr>
        <w:pStyle w:val="Prrafodelista"/>
        <w:numPr>
          <w:ilvl w:val="1"/>
          <w:numId w:val="33"/>
        </w:numPr>
        <w:jc w:val="both"/>
        <w:rPr>
          <w:rFonts w:cs="Arial"/>
          <w:bCs/>
          <w:color w:val="auto"/>
          <w:sz w:val="22"/>
          <w:szCs w:val="22"/>
          <w:lang w:val="es-CO"/>
        </w:rPr>
      </w:pPr>
      <w:r w:rsidRPr="004A4D88">
        <w:rPr>
          <w:rFonts w:cs="Arial"/>
          <w:bCs/>
          <w:color w:val="auto"/>
          <w:sz w:val="22"/>
          <w:szCs w:val="22"/>
          <w:lang w:val="es-CO"/>
        </w:rPr>
        <w:t>El aprovechamiento de los elementos constitutivos y complementarios del espacio público, de acuerdo con su funcionalidad y en concordancia con la misión de las respectivas entidades distritales.</w:t>
      </w:r>
    </w:p>
    <w:p w:rsidR="000224AF" w:rsidRPr="004A4D88" w:rsidRDefault="000224AF" w:rsidP="000224AF">
      <w:pPr>
        <w:pStyle w:val="Prrafodelista"/>
        <w:ind w:left="405"/>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1.2 El marco regulatorio de aprovechamiento económico por parte de particulares en el espacio público en el Distrito Capital”.</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34. Del aprovechamiento económico en el sistema Distrital de Plazas de Mercado. “El Instituto Para la Economía Social -IPES- como administrador y gestor del espacio público de las Plazas Distritales de Mercado del Distrito Capital, expedirá el protocolo el cual contendrá las actividades autorizadas, la fórmula de retribución, los plazos, la forma de interlocución con los aprovechadores y el reglamento administrativo y operativo”.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35. Normalización de uso y aprovechamiento en las Plazas Distritales de Mercado.  “En el protocolo de aprovechamiento del espacio público de las Plazas Distritales de Mercado, el Instituto Para la Economía Social - IPES incorporará un capítulo específico sobre normalización del uso y aprovechamiento económico de los comerciantes que a la fecha del presente decreto no cuenten con autorización de uso y aprovechamiento, en el que establecerá un plazo máximo para tramitar y culminar la expedición de la autorización del uso y aprovechamiento que propenda por la normalización de la ocupación, sin perjuicio de la protección y conservación  del espacio público y del cumplimiento de las obligaciones pendientes por parte de los comerciantes que ocupan irregularmente el espacio público”.</w:t>
      </w:r>
    </w:p>
    <w:p w:rsidR="000224AF" w:rsidRPr="004A4D88" w:rsidRDefault="000224AF" w:rsidP="000224AF">
      <w:pPr>
        <w:jc w:val="both"/>
        <w:rPr>
          <w:rFonts w:cs="Arial"/>
          <w:bCs/>
          <w:color w:val="auto"/>
          <w:sz w:val="22"/>
          <w:szCs w:val="22"/>
          <w:highlight w:val="yellow"/>
          <w:lang w:val="es-CO"/>
        </w:rPr>
      </w:pPr>
    </w:p>
    <w:p w:rsidR="000224AF" w:rsidRPr="004A4D88" w:rsidRDefault="00E91CAC" w:rsidP="000224AF">
      <w:pPr>
        <w:jc w:val="both"/>
        <w:rPr>
          <w:rFonts w:cs="Arial"/>
          <w:b/>
          <w:bCs/>
          <w:color w:val="auto"/>
          <w:sz w:val="22"/>
          <w:szCs w:val="22"/>
          <w:lang w:val="es-CO"/>
        </w:rPr>
      </w:pPr>
      <w:r w:rsidRPr="004A4D88">
        <w:rPr>
          <w:rFonts w:cs="Arial"/>
          <w:bCs/>
          <w:color w:val="auto"/>
          <w:sz w:val="22"/>
          <w:szCs w:val="22"/>
          <w:lang w:val="es-CO"/>
        </w:rPr>
        <w:t xml:space="preserve">4.4. </w:t>
      </w:r>
      <w:r w:rsidR="000224AF" w:rsidRPr="004A4D88">
        <w:rPr>
          <w:rFonts w:cs="Arial"/>
          <w:bCs/>
          <w:color w:val="auto"/>
          <w:sz w:val="22"/>
          <w:szCs w:val="22"/>
          <w:lang w:val="es-CO"/>
        </w:rPr>
        <w:t>ACUERDOS</w:t>
      </w:r>
    </w:p>
    <w:p w:rsidR="000224AF" w:rsidRPr="004A4D88" w:rsidRDefault="000224AF" w:rsidP="000224AF">
      <w:pPr>
        <w:jc w:val="both"/>
        <w:rPr>
          <w:rFonts w:cs="Arial"/>
          <w:b/>
          <w:bCs/>
          <w:color w:val="auto"/>
          <w:sz w:val="22"/>
          <w:szCs w:val="22"/>
          <w:lang w:val="es-CO"/>
        </w:rPr>
      </w:pPr>
    </w:p>
    <w:p w:rsidR="000224AF" w:rsidRPr="004A4D88" w:rsidRDefault="00BE34C9" w:rsidP="000224AF">
      <w:pPr>
        <w:jc w:val="both"/>
        <w:rPr>
          <w:rFonts w:cs="Arial"/>
          <w:bCs/>
          <w:color w:val="auto"/>
          <w:sz w:val="22"/>
          <w:szCs w:val="22"/>
          <w:lang w:val="es-CO"/>
        </w:rPr>
      </w:pPr>
      <w:r w:rsidRPr="004A4D88">
        <w:rPr>
          <w:rFonts w:cs="Arial"/>
          <w:bCs/>
          <w:color w:val="auto"/>
          <w:sz w:val="22"/>
          <w:szCs w:val="22"/>
          <w:lang w:val="es-CO"/>
        </w:rPr>
        <w:t xml:space="preserve">4.4.1 </w:t>
      </w:r>
      <w:r w:rsidR="000224AF" w:rsidRPr="004A4D88">
        <w:rPr>
          <w:rFonts w:cs="Arial"/>
          <w:bCs/>
          <w:color w:val="auto"/>
          <w:sz w:val="22"/>
          <w:szCs w:val="22"/>
          <w:lang w:val="es-CO"/>
        </w:rPr>
        <w:t>Acuerdo 257 de 2006</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el cual se dictan normas básicas sobre la estructura, organización y funcionamiento de los organismos y de las entidades de Bogotá, Distrito Capital, y se expiden otras disposiciones”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76. Transformación del Fondo de Ventas Populares en el Instituto para la Economía Social - IPES. “Transfórmese el Fondo de Ventas Populares - FVP el cual en adelante se denominará Instituto para la Economía Social - IPES establecimiento público del orden distrital, con personería jurídica, autonomía administrativa y patrimonio propio, adscrito a la Secretaría Distrital de Desarrollo Económico”.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79. Funciones del Instituto para la Economía Social - IPES. “De conformidad con lo establecido en el artículo anterior adicionase los Acuerdos 25 de 1972 y 04 de 1975 con las siguientes funciones: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 "Definir, diseñar y ejecutar programas, en concordancia con los planes de desarrollo y las políticas trazadas por el Gobierno Distrital, dirigidos a otorgar alternativas para los sectores de la economía informal a través de la formación de capital humano, el acceso al crédito, la inserción en los mercados de bienes y servicios y la reubicación de las actividades comerciales o de servicios.</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lastRenderedPageBreak/>
        <w:t xml:space="preserve">b. Gestionar la consecución de recursos con entidades públicas, empresas privadas, fundaciones u Organizaciones No Gubernamentales - </w:t>
      </w:r>
      <w:proofErr w:type="spellStart"/>
      <w:r w:rsidRPr="004A4D88">
        <w:rPr>
          <w:rFonts w:cs="Arial"/>
          <w:bCs/>
          <w:color w:val="auto"/>
          <w:sz w:val="22"/>
          <w:szCs w:val="22"/>
          <w:lang w:val="es-CO"/>
        </w:rPr>
        <w:t>ONGs</w:t>
      </w:r>
      <w:proofErr w:type="spellEnd"/>
      <w:r w:rsidRPr="004A4D88">
        <w:rPr>
          <w:rFonts w:cs="Arial"/>
          <w:bCs/>
          <w:color w:val="auto"/>
          <w:sz w:val="22"/>
          <w:szCs w:val="22"/>
          <w:lang w:val="es-CO"/>
        </w:rPr>
        <w:t xml:space="preserve"> nacionales e internacionales para ampliar la capacidad de gestión de la entidad y fortalecer la ejecución de los programas y proyectos.</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w:t>
      </w:r>
    </w:p>
    <w:p w:rsidR="000224AF" w:rsidRPr="004A4D88" w:rsidRDefault="000224AF" w:rsidP="000224AF">
      <w:pPr>
        <w:jc w:val="both"/>
        <w:rPr>
          <w:rFonts w:cs="Arial"/>
          <w:bCs/>
          <w:color w:val="auto"/>
          <w:sz w:val="22"/>
          <w:szCs w:val="22"/>
          <w:highlight w:val="yellow"/>
          <w:lang w:val="es-CO"/>
        </w:rPr>
      </w:pPr>
    </w:p>
    <w:p w:rsidR="000224AF" w:rsidRPr="004A4D88" w:rsidRDefault="00BE34C9" w:rsidP="000224AF">
      <w:pPr>
        <w:jc w:val="both"/>
        <w:rPr>
          <w:rFonts w:cs="Arial"/>
          <w:bCs/>
          <w:color w:val="auto"/>
          <w:sz w:val="22"/>
          <w:szCs w:val="22"/>
          <w:lang w:val="es-CO"/>
        </w:rPr>
      </w:pPr>
      <w:r w:rsidRPr="004A4D88">
        <w:rPr>
          <w:rFonts w:cs="Arial"/>
          <w:bCs/>
          <w:color w:val="auto"/>
          <w:sz w:val="22"/>
          <w:szCs w:val="22"/>
          <w:lang w:val="es-CO"/>
        </w:rPr>
        <w:t xml:space="preserve">4.4.2 </w:t>
      </w:r>
      <w:r w:rsidR="000224AF" w:rsidRPr="004A4D88">
        <w:rPr>
          <w:rFonts w:cs="Arial"/>
          <w:bCs/>
          <w:color w:val="auto"/>
          <w:sz w:val="22"/>
          <w:szCs w:val="22"/>
          <w:lang w:val="es-CO"/>
        </w:rPr>
        <w:t>Acuerdo 927 de 2024</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
          <w:bCs/>
          <w:color w:val="auto"/>
          <w:sz w:val="22"/>
          <w:szCs w:val="22"/>
          <w:lang w:val="es-CO"/>
        </w:rPr>
      </w:pPr>
      <w:r w:rsidRPr="004A4D88">
        <w:rPr>
          <w:rFonts w:cs="Arial"/>
          <w:b/>
          <w:bCs/>
          <w:color w:val="auto"/>
          <w:sz w:val="22"/>
          <w:szCs w:val="22"/>
          <w:lang w:val="es-CO"/>
        </w:rPr>
        <w:t>“Por medio del cual se adopta el Plan de Desarrollo Económico, Social, Ambiental y de Obras Públicas del Distrito Capital 2024-2027 “Bogotá Camina Segura”</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rsidR="000224AF" w:rsidRPr="004A4D88" w:rsidRDefault="000224AF" w:rsidP="000224AF">
      <w:pPr>
        <w:jc w:val="both"/>
        <w:rPr>
          <w:rFonts w:cs="Arial"/>
          <w:bCs/>
          <w:color w:val="auto"/>
          <w:sz w:val="22"/>
          <w:szCs w:val="22"/>
          <w:highlight w:val="yellow"/>
          <w:lang w:val="es-CO"/>
        </w:rPr>
      </w:pPr>
    </w:p>
    <w:p w:rsidR="000224AF" w:rsidRPr="004A4D88" w:rsidRDefault="00CE088A" w:rsidP="000224AF">
      <w:pPr>
        <w:jc w:val="both"/>
        <w:rPr>
          <w:rFonts w:cs="Arial"/>
          <w:b/>
          <w:bCs/>
          <w:color w:val="auto"/>
          <w:sz w:val="22"/>
          <w:szCs w:val="22"/>
          <w:lang w:val="es-CO"/>
        </w:rPr>
      </w:pPr>
      <w:r w:rsidRPr="004A4D88">
        <w:rPr>
          <w:rFonts w:cs="Arial"/>
          <w:b/>
          <w:bCs/>
          <w:color w:val="auto"/>
          <w:sz w:val="22"/>
          <w:szCs w:val="22"/>
          <w:lang w:val="es-CO"/>
        </w:rPr>
        <w:t xml:space="preserve">4.5 </w:t>
      </w:r>
      <w:r w:rsidR="000224AF" w:rsidRPr="004A4D88">
        <w:rPr>
          <w:rFonts w:cs="Arial"/>
          <w:b/>
          <w:bCs/>
          <w:color w:val="auto"/>
          <w:sz w:val="22"/>
          <w:szCs w:val="22"/>
          <w:lang w:val="es-CO"/>
        </w:rPr>
        <w:t>JURISPRUDENCIA</w:t>
      </w:r>
    </w:p>
    <w:p w:rsidR="000224AF" w:rsidRPr="004A4D88" w:rsidRDefault="000224AF" w:rsidP="000224AF">
      <w:pPr>
        <w:jc w:val="both"/>
        <w:rPr>
          <w:rFonts w:cs="Arial"/>
          <w:b/>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Sentencia No. T-772-03. (4 de septiembre de 2003). Expediente T-728123. Magistrado Ponente: Manuel José Cepeda Espinosa. </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En el marco del conflicto que ha tenido el Estado respecto a la obligación de conservar el espacio público al tiempo que los derechos de los vendedores informales, la Corte se pronunció respecto a este deber estatal, haciendo su interpretación en un contexto de desempleo elevado, desplazamiento masivo y altas tasas de pobreza e indigencia; donde en un contexto de pobreza tan grave como el que aqueja a la capital, junto con la ausencia de oportunidades en el sector formal, las personas se ven obligadas a utilizar las vías, plazas y parques públicos, comercializando artículos de la más diversa índole, para así satisfacer sus propias necesidades básicas y las de sus familias. </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“Por lo tanto, en aplicación del principio del Estado Social de Derecho y en el contexto de las condiciones sociales y económicas actuales de la capital, las autoridades distritales competentes están en el deber constitucional de incorporar, como parte integrante de dichas políticas, programas o medidas de recuperación del espacio público, un componente obligatorio de provisión de alternativas económicas para quienes dependen del comercio informal para su sustento vital, el cual se debe haber formulado con base en una evaluación y un seguimiento previos y detallados de las condiciones sociales y económicas reales y cambiantes de la capital, con miras a asegurar el goce efectivo de los derechos fundamentales a medida que cambia el contexto dentro del cual se van a implementar, de tal manera </w:t>
      </w:r>
      <w:r w:rsidRPr="004A4D88">
        <w:rPr>
          <w:rFonts w:cs="Arial"/>
          <w:bCs/>
          <w:color w:val="auto"/>
          <w:sz w:val="22"/>
          <w:szCs w:val="22"/>
          <w:lang w:val="es-CO"/>
        </w:rPr>
        <w:lastRenderedPageBreak/>
        <w:t>que exista correspondencia entre tales políticas, programas y medidas y las dimensiones y características del problema social a resolver. En ausencia de este componente, que se debe ofrecer en principio a todos los comerciantes afectados en forma previa a su desalojo, la política, programa o medida correspondiente será ostensiblemente lesiva de los mandatos constitucionales -es decir, inadmisible por su carácter desproporcionado-.”</w:t>
      </w:r>
    </w:p>
    <w:p w:rsidR="000224AF" w:rsidRPr="004A4D88" w:rsidRDefault="000224AF" w:rsidP="000224AF">
      <w:pPr>
        <w:jc w:val="both"/>
        <w:rPr>
          <w:rFonts w:cs="Arial"/>
          <w:bCs/>
          <w:color w:val="auto"/>
          <w:sz w:val="22"/>
          <w:szCs w:val="22"/>
          <w:lang w:val="es-CO"/>
        </w:rPr>
      </w:pP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En dicho pronunciamiento, se evidencia que la Corte Constitucional se ocupó de explicar el concepto de Estado Social de Derecho y sus relaciones con el valor de la dignidad humana e igualdad, donde la constitución política impone un deber positivo de actuación a las autoridades, el cual consistente en luchar por la erradicación de las desigualdades sociales existentes, hasta el máximo de sus posibilidades y con el grado más alto de diligencia.</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 xml:space="preserve"> </w:t>
      </w:r>
    </w:p>
    <w:p w:rsidR="000224AF" w:rsidRPr="004A4D88" w:rsidRDefault="000224AF" w:rsidP="000224AF">
      <w:pPr>
        <w:jc w:val="both"/>
        <w:rPr>
          <w:rFonts w:cs="Arial"/>
          <w:bCs/>
          <w:color w:val="auto"/>
          <w:sz w:val="22"/>
          <w:szCs w:val="22"/>
          <w:lang w:val="es-CO"/>
        </w:rPr>
      </w:pPr>
      <w:r w:rsidRPr="004A4D88">
        <w:rPr>
          <w:rFonts w:cs="Arial"/>
          <w:bCs/>
          <w:color w:val="auto"/>
          <w:sz w:val="22"/>
          <w:szCs w:val="22"/>
          <w:lang w:val="es-CO"/>
        </w:rPr>
        <w:t>Es así que, cuando el grupo afectado con las medidas de protección del espacio público está integrado por vendedores informales, considerados como un sector social vulnerable debido a sus condiciones socio económicas, las autoridades deben prever medidas complementarias encaminadas a mitigar los efectos negativos de su decisión, de manera tal que estas no acaben por empeorar la situación material de quienes ya están en circunstancias extremas de subsistencia.</w:t>
      </w:r>
    </w:p>
    <w:p w:rsidR="000D25DB" w:rsidRPr="004A4D88" w:rsidRDefault="00AC0008" w:rsidP="000D25DB">
      <w:pPr>
        <w:autoSpaceDE w:val="0"/>
        <w:autoSpaceDN w:val="0"/>
        <w:adjustRightInd w:val="0"/>
        <w:rPr>
          <w:rFonts w:cs="Arial"/>
          <w:b/>
          <w:szCs w:val="24"/>
          <w:lang w:val="es-CO"/>
        </w:rPr>
      </w:pPr>
      <w:r w:rsidRPr="004A4D88">
        <w:rPr>
          <w:rFonts w:cs="Arial"/>
          <w:b/>
          <w:szCs w:val="24"/>
          <w:lang w:val="es-CO"/>
        </w:rPr>
        <w:t xml:space="preserve"> </w:t>
      </w:r>
    </w:p>
    <w:p w:rsidR="000D25DB" w:rsidRPr="004A4D88" w:rsidRDefault="000D25DB" w:rsidP="000D25DB">
      <w:pPr>
        <w:autoSpaceDE w:val="0"/>
        <w:autoSpaceDN w:val="0"/>
        <w:adjustRightInd w:val="0"/>
        <w:rPr>
          <w:rFonts w:cs="Arial"/>
          <w:szCs w:val="24"/>
          <w:lang w:val="es-CO"/>
        </w:rPr>
      </w:pPr>
    </w:p>
    <w:p w:rsidR="00AA435E" w:rsidRPr="004A4D88" w:rsidRDefault="00CE088A" w:rsidP="001664AE">
      <w:pPr>
        <w:widowControl w:val="0"/>
        <w:shd w:val="clear" w:color="auto" w:fill="FFFFFF"/>
        <w:tabs>
          <w:tab w:val="left" w:pos="1560"/>
        </w:tabs>
        <w:suppressAutoHyphens/>
        <w:autoSpaceDN w:val="0"/>
        <w:spacing w:after="240"/>
        <w:jc w:val="both"/>
        <w:textAlignment w:val="baseline"/>
        <w:rPr>
          <w:rFonts w:cs="Arial"/>
          <w:b/>
          <w:szCs w:val="24"/>
        </w:rPr>
      </w:pPr>
      <w:r w:rsidRPr="004A4D88">
        <w:rPr>
          <w:rFonts w:cs="Arial"/>
          <w:b/>
          <w:szCs w:val="24"/>
        </w:rPr>
        <w:t>5</w:t>
      </w:r>
      <w:r w:rsidR="00F26B7B" w:rsidRPr="004A4D88">
        <w:rPr>
          <w:rFonts w:cs="Arial"/>
          <w:b/>
          <w:szCs w:val="24"/>
        </w:rPr>
        <w:t>.COMENTARIOS Y OBSERVACIONES AL PROYECTO DE ACUERDO</w:t>
      </w:r>
    </w:p>
    <w:p w:rsidR="00B76D17" w:rsidRPr="004A4D88" w:rsidRDefault="00B76D17" w:rsidP="004741C3">
      <w:pPr>
        <w:shd w:val="clear" w:color="auto" w:fill="FFFFFF"/>
        <w:jc w:val="both"/>
        <w:rPr>
          <w:rFonts w:cs="Arial"/>
          <w:szCs w:val="24"/>
        </w:rPr>
      </w:pPr>
    </w:p>
    <w:p w:rsidR="0073658B" w:rsidRPr="004A4D88" w:rsidRDefault="00B76D17" w:rsidP="004F3953">
      <w:pPr>
        <w:widowControl w:val="0"/>
        <w:shd w:val="clear" w:color="auto" w:fill="FFFFFF"/>
        <w:tabs>
          <w:tab w:val="left" w:pos="1560"/>
        </w:tabs>
        <w:suppressAutoHyphens/>
        <w:autoSpaceDN w:val="0"/>
        <w:spacing w:after="240"/>
        <w:jc w:val="both"/>
        <w:textAlignment w:val="baseline"/>
        <w:rPr>
          <w:rFonts w:cs="Arial"/>
          <w:bCs/>
          <w:color w:val="auto"/>
          <w:szCs w:val="24"/>
          <w:lang w:val="es-CO"/>
        </w:rPr>
      </w:pPr>
      <w:r w:rsidRPr="004A4D88">
        <w:rPr>
          <w:rFonts w:cs="Arial"/>
          <w:color w:val="141414"/>
          <w:szCs w:val="24"/>
        </w:rPr>
        <w:t>Las plazas de mercado, auténticos corazones de las ciudades y pueblos colombianos, son mucho más que simples lugares de comercio. Se trata de espacios en los que se entrelazan la gastronomía, la cultura y la historia de una localidad. En Bogotá, que se destaca como un epicentro del turismo gastronómico, existen 19 plazas de mercado distritales, que tienen joyas culinarias que brillan por su vocación turística y cautivan a visitantes y locales por igual por su valor patrimonial, importancia histórica y riqueza gastronómica</w:t>
      </w:r>
      <w:r w:rsidRPr="004A4D88">
        <w:rPr>
          <w:rFonts w:cs="Arial"/>
          <w:color w:val="141414"/>
          <w:sz w:val="30"/>
          <w:szCs w:val="30"/>
        </w:rPr>
        <w:t>.</w:t>
      </w:r>
      <w:r w:rsidRPr="004A4D88">
        <w:rPr>
          <w:rStyle w:val="Refdenotaalpie"/>
          <w:rFonts w:cs="Arial"/>
          <w:color w:val="141414"/>
          <w:sz w:val="30"/>
          <w:szCs w:val="30"/>
        </w:rPr>
        <w:footnoteReference w:id="27"/>
      </w:r>
      <w:r w:rsidRPr="004A4D88">
        <w:rPr>
          <w:rFonts w:cs="Arial"/>
          <w:color w:val="141414"/>
          <w:sz w:val="30"/>
          <w:szCs w:val="30"/>
        </w:rPr>
        <w:t xml:space="preserve"> </w:t>
      </w:r>
      <w:r w:rsidRPr="004A4D88">
        <w:rPr>
          <w:rFonts w:cs="Arial"/>
          <w:color w:val="141414"/>
          <w:szCs w:val="24"/>
        </w:rPr>
        <w:t>De igual manera, son una fuente de trabajo de manera directa e indirecta a</w:t>
      </w:r>
      <w:r w:rsidR="000161A5" w:rsidRPr="004A4D88">
        <w:rPr>
          <w:rFonts w:cs="Arial"/>
          <w:color w:val="141414"/>
          <w:szCs w:val="24"/>
        </w:rPr>
        <w:t xml:space="preserve"> </w:t>
      </w:r>
      <w:r w:rsidRPr="004A4D88">
        <w:rPr>
          <w:rFonts w:cs="Arial"/>
          <w:color w:val="141414"/>
          <w:szCs w:val="24"/>
        </w:rPr>
        <w:t>l</w:t>
      </w:r>
      <w:r w:rsidR="000161A5" w:rsidRPr="004A4D88">
        <w:rPr>
          <w:rFonts w:cs="Arial"/>
          <w:color w:val="141414"/>
          <w:szCs w:val="24"/>
        </w:rPr>
        <w:t xml:space="preserve">os </w:t>
      </w:r>
      <w:r w:rsidR="003A113F" w:rsidRPr="004A4D88">
        <w:rPr>
          <w:rFonts w:cs="Arial"/>
          <w:bCs/>
          <w:color w:val="141414"/>
          <w:szCs w:val="24"/>
          <w:lang w:val="es-CO"/>
        </w:rPr>
        <w:t xml:space="preserve">agricultores, indígenas campesinos y artesanos que son proveedores y </w:t>
      </w:r>
      <w:r w:rsidR="003A113F" w:rsidRPr="004A4D88">
        <w:rPr>
          <w:rFonts w:cs="Arial"/>
          <w:color w:val="141414"/>
          <w:szCs w:val="24"/>
        </w:rPr>
        <w:t xml:space="preserve"> </w:t>
      </w:r>
      <w:r w:rsidR="000161A5" w:rsidRPr="004A4D88">
        <w:rPr>
          <w:rFonts w:cs="Arial"/>
          <w:color w:val="141414"/>
          <w:szCs w:val="24"/>
        </w:rPr>
        <w:t>vendedores de víveres y alimentos  para todos los habitantes de la ciudad.</w:t>
      </w:r>
      <w:r w:rsidRPr="004A4D88">
        <w:rPr>
          <w:rFonts w:cs="Arial"/>
          <w:color w:val="141414"/>
          <w:szCs w:val="24"/>
        </w:rPr>
        <w:t xml:space="preserve"> </w:t>
      </w:r>
      <w:r w:rsidR="0080459C" w:rsidRPr="004A4D88">
        <w:rPr>
          <w:rFonts w:cs="Arial"/>
          <w:bCs/>
          <w:color w:val="auto"/>
          <w:szCs w:val="24"/>
          <w:lang w:val="es-CO"/>
        </w:rPr>
        <w:t>Cada una de las plazas de mercado distribuidas en las 20 localidades de la ciudad en donde se “…reúnen 3.999 puestos aproximadamente, de los cuales 3.077 están ocupados (77 %)”</w:t>
      </w:r>
      <w:r w:rsidR="0080459C" w:rsidRPr="004A4D88">
        <w:rPr>
          <w:rStyle w:val="Refdenotaalpie"/>
          <w:rFonts w:cs="Arial"/>
          <w:bCs/>
          <w:color w:val="auto"/>
          <w:szCs w:val="24"/>
          <w:lang w:val="es-CO"/>
        </w:rPr>
        <w:footnoteReference w:id="28"/>
      </w:r>
      <w:r w:rsidR="004F3953" w:rsidRPr="004A4D88">
        <w:rPr>
          <w:rFonts w:cs="Arial"/>
          <w:bCs/>
          <w:color w:val="auto"/>
          <w:szCs w:val="24"/>
          <w:lang w:val="es-CO"/>
        </w:rPr>
        <w:t>Los efectos económicos generados por la pandemia del Covid-19 a los vivanderos de las plazas de mercado de Bogotá género muchas deudas que en la actualidad tienen estos mercaderes con</w:t>
      </w:r>
      <w:r w:rsidR="00BD2888" w:rsidRPr="004A4D88">
        <w:rPr>
          <w:rFonts w:cs="Arial"/>
          <w:bCs/>
          <w:color w:val="auto"/>
          <w:szCs w:val="24"/>
          <w:lang w:val="es-CO"/>
        </w:rPr>
        <w:t xml:space="preserve"> el Instituto P</w:t>
      </w:r>
      <w:r w:rsidR="004F3953" w:rsidRPr="004A4D88">
        <w:rPr>
          <w:rFonts w:cs="Arial"/>
          <w:bCs/>
          <w:color w:val="auto"/>
          <w:szCs w:val="24"/>
          <w:lang w:val="es-CO"/>
        </w:rPr>
        <w:t xml:space="preserve">ara la Economía Social (IPES) en relación con los </w:t>
      </w:r>
      <w:r w:rsidR="004F3953" w:rsidRPr="004A4D88">
        <w:rPr>
          <w:rFonts w:cs="Arial"/>
          <w:bCs/>
          <w:color w:val="auto"/>
          <w:szCs w:val="24"/>
          <w:lang w:val="es-CO"/>
        </w:rPr>
        <w:lastRenderedPageBreak/>
        <w:t>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r w:rsidR="004F3953" w:rsidRPr="004A4D88">
        <w:rPr>
          <w:rStyle w:val="Refdenotaalpie"/>
          <w:rFonts w:cs="Arial"/>
          <w:bCs/>
          <w:color w:val="auto"/>
          <w:szCs w:val="24"/>
          <w:lang w:val="es-CO"/>
        </w:rPr>
        <w:footnoteReference w:id="29"/>
      </w:r>
      <w:r w:rsidR="004F3953" w:rsidRPr="004A4D88">
        <w:rPr>
          <w:rFonts w:cs="Arial"/>
          <w:bCs/>
          <w:color w:val="auto"/>
          <w:szCs w:val="24"/>
          <w:lang w:val="es-CO"/>
        </w:rPr>
        <w:t>”</w:t>
      </w:r>
      <w:r w:rsidR="004F3953" w:rsidRPr="004A4D88">
        <w:rPr>
          <w:rFonts w:cs="Arial"/>
          <w:bCs/>
          <w:color w:val="000000" w:themeColor="text1"/>
          <w:szCs w:val="24"/>
          <w:lang w:val="es-CO"/>
        </w:rPr>
        <w:t>.</w:t>
      </w:r>
      <w:r w:rsidR="0073658B" w:rsidRPr="004A4D88">
        <w:rPr>
          <w:rFonts w:cs="Arial"/>
          <w:bCs/>
          <w:color w:val="000000" w:themeColor="text1"/>
          <w:szCs w:val="24"/>
          <w:lang w:val="es-CO"/>
        </w:rPr>
        <w:t xml:space="preserve"> A través del presente Proyecto de Acuerdo se busca que se logren conciliar las obligaciones generadas entre los vivanderos y el IPES, pa</w:t>
      </w:r>
      <w:r w:rsidR="00BD2888" w:rsidRPr="004A4D88">
        <w:rPr>
          <w:rFonts w:cs="Arial"/>
          <w:bCs/>
          <w:color w:val="000000" w:themeColor="text1"/>
          <w:szCs w:val="24"/>
          <w:lang w:val="es-CO"/>
        </w:rPr>
        <w:t xml:space="preserve">ra que </w:t>
      </w:r>
      <w:r w:rsidR="0073658B" w:rsidRPr="004A4D88">
        <w:rPr>
          <w:rFonts w:cs="Arial"/>
          <w:bCs/>
          <w:color w:val="000000" w:themeColor="text1"/>
          <w:szCs w:val="24"/>
          <w:lang w:val="es-CO"/>
        </w:rPr>
        <w:t xml:space="preserve">se </w:t>
      </w:r>
      <w:r w:rsidR="00BD2888" w:rsidRPr="004A4D88">
        <w:rPr>
          <w:rFonts w:cs="Arial"/>
          <w:bCs/>
          <w:color w:val="000000" w:themeColor="text1"/>
          <w:szCs w:val="24"/>
          <w:lang w:val="es-CO"/>
        </w:rPr>
        <w:t xml:space="preserve">conserve </w:t>
      </w:r>
      <w:r w:rsidR="0073658B" w:rsidRPr="004A4D88">
        <w:rPr>
          <w:rFonts w:cs="Arial"/>
          <w:bCs/>
          <w:color w:val="000000" w:themeColor="text1"/>
          <w:szCs w:val="24"/>
          <w:lang w:val="es-CO"/>
        </w:rPr>
        <w:t>su trabajo</w:t>
      </w:r>
      <w:r w:rsidR="000C029A" w:rsidRPr="004A4D88">
        <w:rPr>
          <w:rFonts w:cs="Arial"/>
          <w:bCs/>
          <w:color w:val="000000" w:themeColor="text1"/>
          <w:szCs w:val="24"/>
          <w:lang w:val="es-CO"/>
        </w:rPr>
        <w:t xml:space="preserve"> y se fortalezca e</w:t>
      </w:r>
      <w:r w:rsidR="0073658B" w:rsidRPr="004A4D88">
        <w:rPr>
          <w:rFonts w:cs="Arial"/>
          <w:bCs/>
          <w:color w:val="000000" w:themeColor="text1"/>
          <w:szCs w:val="24"/>
          <w:lang w:val="es-CO"/>
        </w:rPr>
        <w:t xml:space="preserve"> </w:t>
      </w:r>
      <w:r w:rsidR="000C029A" w:rsidRPr="004A4D88">
        <w:rPr>
          <w:rFonts w:cs="Arial"/>
          <w:bCs/>
          <w:color w:val="000000" w:themeColor="text1"/>
          <w:szCs w:val="24"/>
          <w:lang w:val="es-CO"/>
        </w:rPr>
        <w:t>impulse</w:t>
      </w:r>
      <w:r w:rsidR="0073658B" w:rsidRPr="004A4D88">
        <w:rPr>
          <w:rFonts w:cs="Arial"/>
          <w:bCs/>
          <w:color w:val="000000" w:themeColor="text1"/>
          <w:szCs w:val="24"/>
          <w:lang w:val="es-CO"/>
        </w:rPr>
        <w:t xml:space="preserve"> la economía</w:t>
      </w:r>
      <w:r w:rsidR="00BD2888" w:rsidRPr="004A4D88">
        <w:rPr>
          <w:rFonts w:cs="Arial"/>
          <w:bCs/>
          <w:color w:val="000000" w:themeColor="text1"/>
          <w:szCs w:val="24"/>
          <w:lang w:val="es-CO"/>
        </w:rPr>
        <w:t xml:space="preserve"> social, </w:t>
      </w:r>
      <w:r w:rsidR="00512C99" w:rsidRPr="004A4D88">
        <w:rPr>
          <w:rFonts w:cs="Arial"/>
          <w:bCs/>
          <w:color w:val="000000" w:themeColor="text1"/>
          <w:szCs w:val="24"/>
          <w:lang w:val="es-CO"/>
        </w:rPr>
        <w:t>solidaria, inclusive y sostenible</w:t>
      </w:r>
      <w:r w:rsidR="00BD2888" w:rsidRPr="004A4D88">
        <w:rPr>
          <w:rFonts w:cs="Arial"/>
          <w:bCs/>
          <w:color w:val="000000" w:themeColor="text1"/>
          <w:szCs w:val="24"/>
          <w:lang w:val="es-CO"/>
        </w:rPr>
        <w:t xml:space="preserve"> de estos comerciantes.</w:t>
      </w:r>
      <w:r w:rsidR="00512C99" w:rsidRPr="004A4D88">
        <w:rPr>
          <w:rFonts w:cs="Arial"/>
          <w:bCs/>
          <w:color w:val="000000" w:themeColor="text1"/>
          <w:szCs w:val="24"/>
          <w:lang w:val="es-CO"/>
        </w:rPr>
        <w:t xml:space="preserve">  </w:t>
      </w:r>
      <w:r w:rsidR="0073658B" w:rsidRPr="004A4D88">
        <w:rPr>
          <w:rFonts w:cs="Arial"/>
          <w:bCs/>
          <w:color w:val="000000" w:themeColor="text1"/>
          <w:szCs w:val="24"/>
          <w:lang w:val="es-CO"/>
        </w:rPr>
        <w:t xml:space="preserve"> </w:t>
      </w:r>
    </w:p>
    <w:p w:rsidR="0073658B" w:rsidRPr="004A4D88" w:rsidRDefault="004C16D8" w:rsidP="004F3953">
      <w:pPr>
        <w:widowControl w:val="0"/>
        <w:shd w:val="clear" w:color="auto" w:fill="FFFFFF"/>
        <w:tabs>
          <w:tab w:val="left" w:pos="1560"/>
        </w:tabs>
        <w:suppressAutoHyphens/>
        <w:autoSpaceDN w:val="0"/>
        <w:spacing w:after="240"/>
        <w:jc w:val="both"/>
        <w:textAlignment w:val="baseline"/>
        <w:rPr>
          <w:rFonts w:cs="Arial"/>
          <w:bCs/>
          <w:color w:val="auto"/>
          <w:szCs w:val="24"/>
          <w:lang w:val="es-CO"/>
        </w:rPr>
      </w:pPr>
      <w:r w:rsidRPr="004A4D88">
        <w:rPr>
          <w:rFonts w:cs="Arial"/>
          <w:noProof/>
          <w:lang w:val="es-CO" w:eastAsia="es-CO"/>
        </w:rPr>
        <w:drawing>
          <wp:anchor distT="0" distB="0" distL="114300" distR="114300" simplePos="0" relativeHeight="251658240" behindDoc="1" locked="0" layoutInCell="1" allowOverlap="1">
            <wp:simplePos x="0" y="0"/>
            <wp:positionH relativeFrom="margin">
              <wp:posOffset>2059305</wp:posOffset>
            </wp:positionH>
            <wp:positionV relativeFrom="page">
              <wp:posOffset>4352925</wp:posOffset>
            </wp:positionV>
            <wp:extent cx="1619250" cy="1442720"/>
            <wp:effectExtent l="0" t="0" r="0" b="5080"/>
            <wp:wrapTopAndBottom/>
            <wp:docPr id="5" name="Imagen 5" descr="Plazas de Merc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azas de Merca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4427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2888" w:rsidRPr="004A4D88">
        <w:rPr>
          <w:rFonts w:cs="Arial"/>
          <w:bCs/>
          <w:color w:val="auto"/>
          <w:szCs w:val="24"/>
          <w:lang w:val="es-CO"/>
        </w:rPr>
        <w:t xml:space="preserve">De acuerdo con lo anteriormente mencionado, se requiere adoptar medidas que depuren la cartera que tienen estos comerciantes </w:t>
      </w:r>
      <w:r w:rsidR="000C029A" w:rsidRPr="004A4D88">
        <w:rPr>
          <w:rFonts w:cs="Arial"/>
          <w:bCs/>
          <w:color w:val="auto"/>
          <w:szCs w:val="24"/>
          <w:lang w:val="es-CO"/>
        </w:rPr>
        <w:t xml:space="preserve">por el uso y la destinación del espacio público en las distintas plazas de mercado (cupos, locales, mostradores, restaurantes, bodegas </w:t>
      </w:r>
      <w:proofErr w:type="spellStart"/>
      <w:r w:rsidR="000C029A" w:rsidRPr="004A4D88">
        <w:rPr>
          <w:rFonts w:cs="Arial"/>
          <w:bCs/>
          <w:color w:val="auto"/>
          <w:szCs w:val="24"/>
          <w:lang w:val="es-CO"/>
        </w:rPr>
        <w:t>etc</w:t>
      </w:r>
      <w:proofErr w:type="spellEnd"/>
      <w:r w:rsidR="000C029A" w:rsidRPr="004A4D88">
        <w:rPr>
          <w:rFonts w:cs="Arial"/>
          <w:bCs/>
          <w:color w:val="auto"/>
          <w:szCs w:val="24"/>
          <w:lang w:val="es-CO"/>
        </w:rPr>
        <w:t>).</w:t>
      </w:r>
    </w:p>
    <w:p w:rsidR="009454FF" w:rsidRPr="004A4D88" w:rsidRDefault="009454FF" w:rsidP="009454FF">
      <w:pPr>
        <w:widowControl w:val="0"/>
        <w:shd w:val="clear" w:color="auto" w:fill="FFFFFF"/>
        <w:tabs>
          <w:tab w:val="left" w:pos="1560"/>
          <w:tab w:val="left" w:pos="6538"/>
        </w:tabs>
        <w:suppressAutoHyphens/>
        <w:autoSpaceDN w:val="0"/>
        <w:spacing w:after="240"/>
        <w:jc w:val="both"/>
        <w:textAlignment w:val="baseline"/>
        <w:rPr>
          <w:rFonts w:cs="Arial"/>
          <w:bCs/>
          <w:color w:val="auto"/>
          <w:szCs w:val="24"/>
          <w:lang w:val="es-CO"/>
        </w:rPr>
      </w:pPr>
      <w:r w:rsidRPr="004A4D88">
        <w:rPr>
          <w:rFonts w:cs="Arial"/>
          <w:bCs/>
          <w:color w:val="auto"/>
          <w:szCs w:val="24"/>
          <w:lang w:val="es-CO"/>
        </w:rPr>
        <w:t xml:space="preserve">                                                                                           </w:t>
      </w:r>
      <w:r w:rsidRPr="004A4D88">
        <w:rPr>
          <w:rFonts w:cs="Arial"/>
          <w:bCs/>
          <w:color w:val="auto"/>
          <w:szCs w:val="24"/>
          <w:lang w:val="es-CO"/>
        </w:rPr>
        <w:tab/>
      </w:r>
    </w:p>
    <w:p w:rsidR="009454FF" w:rsidRPr="004A4D88" w:rsidRDefault="009454FF" w:rsidP="009454FF">
      <w:pPr>
        <w:widowControl w:val="0"/>
        <w:shd w:val="clear" w:color="auto" w:fill="FFFFFF"/>
        <w:tabs>
          <w:tab w:val="left" w:pos="1560"/>
          <w:tab w:val="left" w:pos="6538"/>
        </w:tabs>
        <w:suppressAutoHyphens/>
        <w:autoSpaceDN w:val="0"/>
        <w:spacing w:after="240"/>
        <w:jc w:val="both"/>
        <w:textAlignment w:val="baseline"/>
        <w:rPr>
          <w:rFonts w:cs="Arial"/>
          <w:bCs/>
          <w:color w:val="auto"/>
          <w:szCs w:val="24"/>
          <w:lang w:val="es-CO"/>
        </w:rPr>
      </w:pPr>
      <w:r w:rsidRPr="004A4D88">
        <w:rPr>
          <w:rFonts w:cs="Arial"/>
          <w:bCs/>
          <w:color w:val="auto"/>
          <w:szCs w:val="24"/>
          <w:lang w:val="es-CO"/>
        </w:rPr>
        <w:t xml:space="preserve">                                                          </w:t>
      </w:r>
      <w:r w:rsidRPr="004A4D88">
        <w:rPr>
          <w:rFonts w:cs="Arial"/>
          <w:b/>
          <w:bCs/>
          <w:color w:val="auto"/>
          <w:sz w:val="16"/>
          <w:szCs w:val="16"/>
          <w:lang w:val="es-CO"/>
        </w:rPr>
        <w:t>Fuente: IPES</w:t>
      </w:r>
      <w:r w:rsidRPr="004A4D88">
        <w:rPr>
          <w:rStyle w:val="Refdenotaalpie"/>
          <w:rFonts w:cs="Arial"/>
          <w:b/>
          <w:bCs/>
          <w:color w:val="auto"/>
          <w:sz w:val="16"/>
          <w:szCs w:val="16"/>
          <w:lang w:val="es-CO"/>
        </w:rPr>
        <w:footnoteReference w:id="30"/>
      </w:r>
    </w:p>
    <w:p w:rsidR="00933DCD" w:rsidRPr="004A4D88" w:rsidRDefault="0066735F" w:rsidP="0066735F">
      <w:pPr>
        <w:jc w:val="both"/>
        <w:rPr>
          <w:rFonts w:cs="Arial"/>
          <w:b/>
          <w:bCs/>
          <w:color w:val="333333"/>
          <w:sz w:val="20"/>
          <w:shd w:val="clear" w:color="auto" w:fill="FFFFFF"/>
        </w:rPr>
      </w:pPr>
      <w:r w:rsidRPr="004A4D88">
        <w:rPr>
          <w:rFonts w:cs="Arial"/>
          <w:bCs/>
          <w:color w:val="auto"/>
          <w:szCs w:val="24"/>
          <w:lang w:val="es-CO"/>
        </w:rPr>
        <w:t xml:space="preserve">De conformidad a lo establecido en el </w:t>
      </w:r>
      <w:r w:rsidRPr="004A4D88">
        <w:rPr>
          <w:rFonts w:cs="Arial"/>
          <w:b/>
          <w:bCs/>
          <w:color w:val="333333"/>
          <w:szCs w:val="24"/>
          <w:lang w:eastAsia="es-CO"/>
        </w:rPr>
        <w:t>Acuerdo 927 </w:t>
      </w:r>
      <w:r w:rsidRPr="004A4D88">
        <w:rPr>
          <w:rFonts w:cs="Arial"/>
          <w:b/>
          <w:bCs/>
          <w:color w:val="333333"/>
          <w:szCs w:val="24"/>
          <w:lang w:val="es-419" w:eastAsia="es-CO"/>
        </w:rPr>
        <w:t>de </w:t>
      </w:r>
      <w:r w:rsidRPr="004A4D88">
        <w:rPr>
          <w:rFonts w:cs="Arial"/>
          <w:b/>
          <w:bCs/>
          <w:color w:val="333333"/>
          <w:szCs w:val="24"/>
          <w:lang w:eastAsia="es-CO"/>
        </w:rPr>
        <w:t>2024 “</w:t>
      </w:r>
      <w:r w:rsidRPr="004A4D88">
        <w:rPr>
          <w:rFonts w:cs="Arial"/>
          <w:b/>
          <w:bCs/>
          <w:iCs/>
          <w:color w:val="333333"/>
          <w:szCs w:val="24"/>
          <w:lang w:eastAsia="es-CO"/>
        </w:rPr>
        <w:t xml:space="preserve">Por medio del cual se adopta el Plan de Desarrollo Económico, Social, Ambiental y de Obras Públicas del Distrito Capital 2024-2027 “Bogotá Camina Segura” </w:t>
      </w:r>
      <w:r w:rsidRPr="004A4D88">
        <w:rPr>
          <w:rFonts w:cs="Arial"/>
          <w:bCs/>
          <w:iCs/>
          <w:color w:val="333333"/>
          <w:szCs w:val="24"/>
          <w:lang w:eastAsia="es-CO"/>
        </w:rPr>
        <w:t>estableció medidas para proteger el patrimonio cultural de la ciudad consagrado</w:t>
      </w:r>
      <w:r w:rsidR="004842DA" w:rsidRPr="004A4D88">
        <w:rPr>
          <w:rFonts w:cs="Arial"/>
          <w:bCs/>
          <w:iCs/>
          <w:color w:val="333333"/>
          <w:szCs w:val="24"/>
          <w:lang w:eastAsia="es-CO"/>
        </w:rPr>
        <w:t xml:space="preserve"> en el artículo</w:t>
      </w:r>
      <w:r w:rsidR="004842DA" w:rsidRPr="004A4D88">
        <w:rPr>
          <w:rFonts w:cs="Arial"/>
          <w:b/>
          <w:bCs/>
          <w:color w:val="333333"/>
          <w:szCs w:val="24"/>
          <w:shd w:val="clear" w:color="auto" w:fill="FFFFFF"/>
        </w:rPr>
        <w:t xml:space="preserve"> </w:t>
      </w:r>
      <w:r w:rsidR="009454FF" w:rsidRPr="004A4D88">
        <w:rPr>
          <w:rFonts w:cs="Arial"/>
          <w:b/>
          <w:bCs/>
          <w:color w:val="333333"/>
          <w:szCs w:val="24"/>
          <w:shd w:val="clear" w:color="auto" w:fill="FFFFFF"/>
        </w:rPr>
        <w:t>121.</w:t>
      </w:r>
      <w:r w:rsidR="009454FF" w:rsidRPr="004A4D88">
        <w:rPr>
          <w:rFonts w:cs="Arial"/>
          <w:b/>
          <w:bCs/>
          <w:color w:val="333333"/>
          <w:sz w:val="20"/>
          <w:shd w:val="clear" w:color="auto" w:fill="FFFFFF"/>
        </w:rPr>
        <w:t> </w:t>
      </w:r>
    </w:p>
    <w:p w:rsidR="00933DCD" w:rsidRPr="004A4D88" w:rsidRDefault="00933DCD" w:rsidP="0066735F">
      <w:pPr>
        <w:jc w:val="both"/>
        <w:rPr>
          <w:rFonts w:cs="Arial"/>
          <w:b/>
          <w:bCs/>
          <w:color w:val="333333"/>
          <w:sz w:val="20"/>
          <w:shd w:val="clear" w:color="auto" w:fill="FFFFFF"/>
        </w:rPr>
      </w:pPr>
    </w:p>
    <w:p w:rsidR="00933DCD" w:rsidRPr="004A4D88" w:rsidRDefault="00933DCD" w:rsidP="0066735F">
      <w:pPr>
        <w:jc w:val="both"/>
        <w:rPr>
          <w:rFonts w:cs="Arial"/>
          <w:b/>
          <w:bCs/>
          <w:color w:val="333333"/>
          <w:sz w:val="20"/>
          <w:shd w:val="clear" w:color="auto" w:fill="FFFFFF"/>
        </w:rPr>
      </w:pPr>
    </w:p>
    <w:p w:rsidR="009454FF" w:rsidRDefault="00933DCD" w:rsidP="0090627D">
      <w:pPr>
        <w:ind w:left="709"/>
        <w:jc w:val="both"/>
        <w:rPr>
          <w:rFonts w:cs="Arial"/>
          <w:i/>
          <w:color w:val="333333"/>
          <w:sz w:val="20"/>
          <w:shd w:val="clear" w:color="auto" w:fill="FFFFFF"/>
        </w:rPr>
      </w:pPr>
      <w:r w:rsidRPr="004A4D88">
        <w:rPr>
          <w:rFonts w:cs="Arial"/>
          <w:b/>
          <w:bCs/>
          <w:i/>
          <w:iCs/>
          <w:color w:val="333333"/>
          <w:sz w:val="20"/>
          <w:u w:val="single"/>
          <w:shd w:val="clear" w:color="auto" w:fill="FFFFFF"/>
        </w:rPr>
        <w:t xml:space="preserve">Artículo 121. </w:t>
      </w:r>
      <w:r w:rsidR="009454FF" w:rsidRPr="004A4D88">
        <w:rPr>
          <w:rFonts w:cs="Arial"/>
          <w:b/>
          <w:bCs/>
          <w:i/>
          <w:iCs/>
          <w:color w:val="333333"/>
          <w:sz w:val="20"/>
          <w:u w:val="single"/>
          <w:shd w:val="clear" w:color="auto" w:fill="FFFFFF"/>
        </w:rPr>
        <w:t>Fortalecimiento del Sistema Distrital de Plazas de Mercado.</w:t>
      </w:r>
      <w:r w:rsidR="009454FF" w:rsidRPr="004A4D88">
        <w:rPr>
          <w:rFonts w:cs="Arial"/>
          <w:b/>
          <w:bCs/>
          <w:i/>
          <w:color w:val="333333"/>
          <w:sz w:val="20"/>
          <w:shd w:val="clear" w:color="auto" w:fill="FFFFFF"/>
        </w:rPr>
        <w:t> </w:t>
      </w:r>
      <w:r w:rsidR="0066735F" w:rsidRPr="004A4D88">
        <w:rPr>
          <w:rFonts w:cs="Arial"/>
          <w:b/>
          <w:bCs/>
          <w:i/>
          <w:color w:val="333333"/>
          <w:shd w:val="clear" w:color="auto" w:fill="FFFFFF"/>
        </w:rPr>
        <w:t>“</w:t>
      </w:r>
      <w:r w:rsidR="009454FF" w:rsidRPr="004A4D88">
        <w:rPr>
          <w:rFonts w:cs="Arial"/>
          <w:i/>
          <w:color w:val="333333"/>
          <w:sz w:val="20"/>
          <w:shd w:val="clear" w:color="auto" w:fill="FFFFFF"/>
        </w:rPr>
        <w:t xml:space="preserve">El distrito capital, teniendo en cuenta los lineamientos para la política pública para las plazas distritales de mercado, implementará acciones para fortalecer el sistema distrital de plazas de mercado mediante la consolidación del sistema de abastecimiento alimentario y turístico de todos los sectores que en ella convergen, se realizarán intervenciones en las plazas de mercado mediante su embellecimiento y/o reforzamiento estructural, así como la intervención para el turismo y el fortalecimiento económico, con gestiones encaminadas a la salvaguarda del </w:t>
      </w:r>
      <w:r w:rsidR="009454FF" w:rsidRPr="004A4D88">
        <w:rPr>
          <w:rFonts w:cs="Arial"/>
          <w:i/>
          <w:color w:val="333333"/>
          <w:sz w:val="20"/>
          <w:shd w:val="clear" w:color="auto" w:fill="FFFFFF"/>
        </w:rPr>
        <w:lastRenderedPageBreak/>
        <w:t>patrimonio cultural inmaterial y la identidad cultural en la ciudad y de fortalecimiento de los procesos organizativos para el desarrollo sostenible y sustentable de estos espacios</w:t>
      </w:r>
      <w:r w:rsidR="0066735F" w:rsidRPr="004A4D88">
        <w:rPr>
          <w:rFonts w:cs="Arial"/>
          <w:i/>
          <w:color w:val="333333"/>
          <w:sz w:val="20"/>
          <w:shd w:val="clear" w:color="auto" w:fill="FFFFFF"/>
        </w:rPr>
        <w:t>”</w:t>
      </w:r>
      <w:r w:rsidR="009454FF" w:rsidRPr="004A4D88">
        <w:rPr>
          <w:rFonts w:cs="Arial"/>
          <w:i/>
          <w:color w:val="333333"/>
          <w:sz w:val="20"/>
          <w:shd w:val="clear" w:color="auto" w:fill="FFFFFF"/>
        </w:rPr>
        <w:t>.</w:t>
      </w:r>
      <w:r w:rsidR="004842DA" w:rsidRPr="004A4D88">
        <w:rPr>
          <w:rStyle w:val="Refdenotaalpie"/>
          <w:rFonts w:cs="Arial"/>
          <w:b/>
          <w:bCs/>
          <w:i/>
          <w:iCs/>
          <w:color w:val="333333"/>
          <w:szCs w:val="24"/>
          <w:lang w:eastAsia="es-CO"/>
        </w:rPr>
        <w:footnoteReference w:id="31"/>
      </w:r>
    </w:p>
    <w:p w:rsidR="00AB4FDB" w:rsidRPr="004A4D88" w:rsidRDefault="00AB4FDB" w:rsidP="0090627D">
      <w:pPr>
        <w:ind w:left="709"/>
        <w:jc w:val="both"/>
        <w:rPr>
          <w:rFonts w:cs="Arial"/>
          <w:b/>
          <w:bCs/>
          <w:i/>
          <w:iCs/>
          <w:color w:val="333333"/>
          <w:szCs w:val="24"/>
          <w:lang w:eastAsia="es-CO"/>
        </w:rPr>
      </w:pPr>
    </w:p>
    <w:p w:rsidR="00E4750B" w:rsidRPr="004A4D88" w:rsidRDefault="00E4750B" w:rsidP="004741C3">
      <w:pPr>
        <w:shd w:val="clear" w:color="auto" w:fill="FFFFFF"/>
        <w:jc w:val="both"/>
        <w:rPr>
          <w:rFonts w:cs="Arial"/>
          <w:bCs/>
          <w:color w:val="333333"/>
          <w:szCs w:val="24"/>
          <w:shd w:val="clear" w:color="auto" w:fill="FFFFFF"/>
        </w:rPr>
      </w:pPr>
      <w:r w:rsidRPr="004A4D88">
        <w:rPr>
          <w:rFonts w:cs="Arial"/>
          <w:bCs/>
          <w:color w:val="333333"/>
          <w:szCs w:val="24"/>
          <w:shd w:val="clear" w:color="auto" w:fill="FFFFFF"/>
        </w:rPr>
        <w:t xml:space="preserve">Los principales problemas que tienen en la actualidad los comerciantes de las plazas de mercado principalmente son las deudas insostenibles con el IPES </w:t>
      </w:r>
      <w:r w:rsidRPr="004A4D88">
        <w:rPr>
          <w:rFonts w:cs="Arial"/>
          <w:bCs/>
          <w:color w:val="auto"/>
          <w:szCs w:val="24"/>
          <w:lang w:val="es-CO"/>
        </w:rPr>
        <w:t>como administrador y gestor del espacio público de las Plazas Distritales de Mercado del Distrito Capital</w:t>
      </w:r>
      <w:r w:rsidRPr="004A4D88">
        <w:rPr>
          <w:rFonts w:cs="Arial"/>
          <w:bCs/>
          <w:color w:val="333333"/>
          <w:szCs w:val="24"/>
          <w:shd w:val="clear" w:color="auto" w:fill="FFFFFF"/>
        </w:rPr>
        <w:t xml:space="preserve"> </w:t>
      </w:r>
      <w:r w:rsidR="00A15EEE" w:rsidRPr="004A4D88">
        <w:rPr>
          <w:rFonts w:cs="Arial"/>
          <w:bCs/>
          <w:color w:val="333333"/>
          <w:szCs w:val="24"/>
          <w:shd w:val="clear" w:color="auto" w:fill="FFFFFF"/>
        </w:rPr>
        <w:t xml:space="preserve">por la explotación y ocupación de módulos comerciales por un lado y por otro como consecuencia de lo anterior </w:t>
      </w:r>
      <w:r w:rsidRPr="004A4D88">
        <w:rPr>
          <w:rFonts w:cs="Arial"/>
          <w:bCs/>
          <w:color w:val="333333"/>
          <w:szCs w:val="24"/>
          <w:shd w:val="clear" w:color="auto" w:fill="FFFFFF"/>
        </w:rPr>
        <w:t>incertidumbre laboral</w:t>
      </w:r>
      <w:r w:rsidR="00A15EEE" w:rsidRPr="004A4D88">
        <w:rPr>
          <w:rFonts w:cs="Arial"/>
          <w:bCs/>
          <w:color w:val="333333"/>
          <w:szCs w:val="24"/>
          <w:shd w:val="clear" w:color="auto" w:fill="FFFFFF"/>
        </w:rPr>
        <w:t xml:space="preserve"> agregados a la</w:t>
      </w:r>
      <w:r w:rsidR="00031FA9" w:rsidRPr="004A4D88">
        <w:rPr>
          <w:rFonts w:cs="Arial"/>
          <w:bCs/>
          <w:color w:val="333333"/>
          <w:szCs w:val="24"/>
          <w:shd w:val="clear" w:color="auto" w:fill="FFFFFF"/>
        </w:rPr>
        <w:t>s obras inconclusas, “</w:t>
      </w:r>
      <w:r w:rsidR="00031FA9" w:rsidRPr="004A4D88">
        <w:rPr>
          <w:rFonts w:cs="Arial"/>
          <w:bCs/>
          <w:szCs w:val="24"/>
        </w:rPr>
        <w:t>problemas de infraestructura críticos, con techos deteriorados, problemas sanitarios y sistemas eléctricos en condiciones precarias”</w:t>
      </w:r>
      <w:r w:rsidR="00031FA9" w:rsidRPr="004A4D88">
        <w:rPr>
          <w:rStyle w:val="Refdenotaalpie"/>
          <w:rFonts w:cs="Arial"/>
          <w:bCs/>
          <w:szCs w:val="24"/>
        </w:rPr>
        <w:footnoteReference w:id="32"/>
      </w:r>
      <w:r w:rsidR="00031FA9" w:rsidRPr="004A4D88">
        <w:rPr>
          <w:rFonts w:cs="Arial"/>
          <w:bCs/>
          <w:color w:val="333333"/>
          <w:shd w:val="clear" w:color="auto" w:fill="FFFFFF"/>
        </w:rPr>
        <w:t xml:space="preserve"> </w:t>
      </w:r>
      <w:r w:rsidR="00A15EEE" w:rsidRPr="004A4D88">
        <w:rPr>
          <w:rFonts w:cs="Arial"/>
          <w:bCs/>
          <w:color w:val="333333"/>
          <w:shd w:val="clear" w:color="auto" w:fill="FFFFFF"/>
        </w:rPr>
        <w:t xml:space="preserve"> </w:t>
      </w:r>
      <w:r w:rsidRPr="004A4D88">
        <w:rPr>
          <w:rFonts w:cs="Arial"/>
          <w:bCs/>
          <w:color w:val="333333"/>
          <w:shd w:val="clear" w:color="auto" w:fill="FFFFFF"/>
        </w:rPr>
        <w:t xml:space="preserve">    </w:t>
      </w:r>
    </w:p>
    <w:p w:rsidR="00E4750B" w:rsidRPr="004A4D88" w:rsidRDefault="00E4750B" w:rsidP="004741C3">
      <w:pPr>
        <w:shd w:val="clear" w:color="auto" w:fill="FFFFFF"/>
        <w:jc w:val="both"/>
        <w:rPr>
          <w:rFonts w:cs="Arial"/>
          <w:b/>
          <w:bCs/>
          <w:color w:val="333333"/>
          <w:shd w:val="clear" w:color="auto" w:fill="FFFFFF"/>
        </w:rPr>
      </w:pPr>
    </w:p>
    <w:p w:rsidR="00E4750B" w:rsidRPr="004A4D88" w:rsidRDefault="00E4750B" w:rsidP="004741C3">
      <w:pPr>
        <w:shd w:val="clear" w:color="auto" w:fill="FFFFFF"/>
        <w:jc w:val="both"/>
        <w:rPr>
          <w:rFonts w:cs="Arial"/>
          <w:b/>
          <w:bCs/>
          <w:color w:val="333333"/>
          <w:shd w:val="clear" w:color="auto" w:fill="FFFFFF"/>
        </w:rPr>
      </w:pPr>
    </w:p>
    <w:p w:rsidR="00133CA7" w:rsidRPr="004A4D88" w:rsidRDefault="00133CA7" w:rsidP="00133CA7">
      <w:pPr>
        <w:shd w:val="clear" w:color="auto" w:fill="FFFFFF"/>
        <w:tabs>
          <w:tab w:val="left" w:pos="2150"/>
        </w:tabs>
        <w:jc w:val="both"/>
        <w:rPr>
          <w:rFonts w:cs="Arial"/>
          <w:b/>
          <w:bCs/>
          <w:color w:val="333333"/>
          <w:shd w:val="clear" w:color="auto" w:fill="FFFFFF"/>
        </w:rPr>
      </w:pPr>
      <w:r w:rsidRPr="004A4D88">
        <w:rPr>
          <w:rFonts w:cs="Arial"/>
          <w:b/>
          <w:bCs/>
          <w:color w:val="333333"/>
          <w:shd w:val="clear" w:color="auto" w:fill="FFFFFF"/>
        </w:rPr>
        <w:tab/>
      </w:r>
      <w:r w:rsidRPr="004A4D88">
        <w:rPr>
          <w:rFonts w:cs="Arial"/>
          <w:noProof/>
          <w:lang w:val="es-CO" w:eastAsia="es-CO"/>
        </w:rPr>
        <w:drawing>
          <wp:inline distT="0" distB="0" distL="0" distR="0" wp14:anchorId="1A00B990" wp14:editId="4CDCFBB8">
            <wp:extent cx="2227496" cy="1688809"/>
            <wp:effectExtent l="0" t="0" r="1905" b="6985"/>
            <wp:docPr id="1" name="Imagen 1" descr="Plazas de mercado de Bogotá enfrentan crisis por deudas y abandon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zas de mercado de Bogotá enfrentan crisis por deudas y abandono  institucion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8184" cy="1704494"/>
                    </a:xfrm>
                    <a:prstGeom prst="rect">
                      <a:avLst/>
                    </a:prstGeom>
                    <a:noFill/>
                    <a:ln>
                      <a:noFill/>
                    </a:ln>
                  </pic:spPr>
                </pic:pic>
              </a:graphicData>
            </a:graphic>
          </wp:inline>
        </w:drawing>
      </w:r>
    </w:p>
    <w:p w:rsidR="000C773B" w:rsidRPr="00A046C8" w:rsidRDefault="00133CA7" w:rsidP="000C773B">
      <w:pPr>
        <w:shd w:val="clear" w:color="auto" w:fill="FFFFFF"/>
        <w:jc w:val="both"/>
        <w:rPr>
          <w:rFonts w:cs="Arial"/>
          <w:bCs/>
          <w:color w:val="auto"/>
          <w:sz w:val="20"/>
          <w:lang w:val="es-CO"/>
        </w:rPr>
      </w:pPr>
      <w:r w:rsidRPr="004A4D88">
        <w:rPr>
          <w:rFonts w:cs="Arial"/>
          <w:b/>
          <w:bCs/>
          <w:color w:val="333333"/>
          <w:sz w:val="16"/>
          <w:szCs w:val="16"/>
          <w:shd w:val="clear" w:color="auto" w:fill="FFFFFF"/>
          <w:vertAlign w:val="subscript"/>
        </w:rPr>
        <w:t xml:space="preserve">                                                                                                               </w:t>
      </w:r>
      <w:r w:rsidR="000C3064" w:rsidRPr="004A4D88">
        <w:rPr>
          <w:rFonts w:cs="Arial"/>
          <w:b/>
          <w:bCs/>
          <w:color w:val="333333"/>
          <w:sz w:val="16"/>
          <w:szCs w:val="16"/>
          <w:shd w:val="clear" w:color="auto" w:fill="FFFFFF"/>
          <w:vertAlign w:val="subscript"/>
        </w:rPr>
        <w:t xml:space="preserve">         </w:t>
      </w:r>
      <w:r w:rsidRPr="004A4D88">
        <w:rPr>
          <w:rFonts w:cs="Arial"/>
          <w:b/>
          <w:bCs/>
          <w:color w:val="333333"/>
          <w:sz w:val="16"/>
          <w:szCs w:val="16"/>
          <w:shd w:val="clear" w:color="auto" w:fill="FFFFFF"/>
          <w:vertAlign w:val="subscript"/>
        </w:rPr>
        <w:t xml:space="preserve"> </w:t>
      </w:r>
      <w:r w:rsidR="00A046C8">
        <w:rPr>
          <w:rFonts w:cs="Arial"/>
          <w:b/>
          <w:bCs/>
          <w:color w:val="333333"/>
          <w:sz w:val="20"/>
          <w:shd w:val="clear" w:color="auto" w:fill="FFFFFF"/>
          <w:vertAlign w:val="subscript"/>
        </w:rPr>
        <w:t xml:space="preserve">Fuente: </w:t>
      </w:r>
      <w:proofErr w:type="spellStart"/>
      <w:r w:rsidR="00A046C8">
        <w:rPr>
          <w:rFonts w:cs="Arial"/>
          <w:b/>
          <w:bCs/>
          <w:color w:val="333333"/>
          <w:sz w:val="20"/>
          <w:shd w:val="clear" w:color="auto" w:fill="FFFFFF"/>
          <w:vertAlign w:val="subscript"/>
        </w:rPr>
        <w:t>Blu</w:t>
      </w:r>
      <w:proofErr w:type="spellEnd"/>
      <w:r w:rsidR="00A046C8">
        <w:rPr>
          <w:rFonts w:cs="Arial"/>
          <w:b/>
          <w:bCs/>
          <w:color w:val="333333"/>
          <w:sz w:val="20"/>
          <w:shd w:val="clear" w:color="auto" w:fill="FFFFFF"/>
          <w:vertAlign w:val="subscript"/>
        </w:rPr>
        <w:t xml:space="preserve"> R</w:t>
      </w:r>
      <w:r w:rsidRPr="00A046C8">
        <w:rPr>
          <w:rFonts w:cs="Arial"/>
          <w:b/>
          <w:bCs/>
          <w:color w:val="333333"/>
          <w:sz w:val="20"/>
          <w:shd w:val="clear" w:color="auto" w:fill="FFFFFF"/>
          <w:vertAlign w:val="subscript"/>
        </w:rPr>
        <w:t xml:space="preserve">adio </w:t>
      </w:r>
    </w:p>
    <w:p w:rsidR="000C773B" w:rsidRPr="004A4D88" w:rsidRDefault="000C773B" w:rsidP="004741C3">
      <w:pPr>
        <w:shd w:val="clear" w:color="auto" w:fill="FFFFFF"/>
        <w:jc w:val="both"/>
        <w:rPr>
          <w:rFonts w:cs="Arial"/>
          <w:bCs/>
          <w:color w:val="auto"/>
          <w:szCs w:val="24"/>
          <w:lang w:val="es-CO"/>
        </w:rPr>
      </w:pPr>
    </w:p>
    <w:p w:rsidR="001A6633" w:rsidRPr="004A4D88" w:rsidRDefault="00D65CFC" w:rsidP="00CC764D">
      <w:pPr>
        <w:pStyle w:val="NormalWeb"/>
        <w:shd w:val="clear" w:color="auto" w:fill="FFFFFF"/>
        <w:jc w:val="both"/>
        <w:rPr>
          <w:rFonts w:ascii="Arial" w:hAnsi="Arial" w:cs="Arial"/>
          <w:bCs/>
        </w:rPr>
      </w:pPr>
      <w:r w:rsidRPr="004A4D88">
        <w:rPr>
          <w:rFonts w:ascii="Arial" w:hAnsi="Arial" w:cs="Arial"/>
          <w:bCs/>
        </w:rPr>
        <w:t>Respecto a</w:t>
      </w:r>
      <w:r w:rsidR="007C1205" w:rsidRPr="004A4D88">
        <w:rPr>
          <w:rFonts w:ascii="Arial" w:hAnsi="Arial" w:cs="Arial"/>
          <w:bCs/>
        </w:rPr>
        <w:t xml:space="preserve"> la </w:t>
      </w:r>
      <w:r w:rsidRPr="004A4D88">
        <w:rPr>
          <w:rFonts w:ascii="Arial" w:hAnsi="Arial" w:cs="Arial"/>
          <w:bCs/>
        </w:rPr>
        <w:t>integridad del espacio público y su aprovechamiento la Constitución en su artículo 82 y el Decreto 315 de 2024</w:t>
      </w:r>
      <w:r w:rsidR="004407EF" w:rsidRPr="004A4D88">
        <w:rPr>
          <w:rFonts w:ascii="Arial" w:hAnsi="Arial" w:cs="Arial"/>
          <w:bCs/>
        </w:rPr>
        <w:t xml:space="preserve"> </w:t>
      </w:r>
      <w:r w:rsidR="00FA0B41" w:rsidRPr="004A4D88">
        <w:rPr>
          <w:rFonts w:ascii="Arial" w:hAnsi="Arial" w:cs="Arial"/>
          <w:bCs/>
        </w:rPr>
        <w:t>artículos 7 y 19</w:t>
      </w:r>
      <w:r w:rsidRPr="004A4D88">
        <w:rPr>
          <w:rFonts w:ascii="Arial" w:hAnsi="Arial" w:cs="Arial"/>
          <w:bCs/>
        </w:rPr>
        <w:t xml:space="preserve"> consagran lo siguiente:   </w:t>
      </w:r>
    </w:p>
    <w:p w:rsidR="00D65CFC" w:rsidRPr="004A4D88" w:rsidRDefault="001A6633" w:rsidP="003D1C56">
      <w:pPr>
        <w:pStyle w:val="NormalWeb"/>
        <w:shd w:val="clear" w:color="auto" w:fill="FFFFFF"/>
        <w:ind w:left="709"/>
        <w:jc w:val="both"/>
        <w:rPr>
          <w:rFonts w:ascii="Arial" w:hAnsi="Arial" w:cs="Arial"/>
          <w:i/>
          <w:color w:val="333333"/>
          <w:sz w:val="20"/>
          <w:szCs w:val="20"/>
        </w:rPr>
      </w:pPr>
      <w:r w:rsidRPr="004A4D88">
        <w:rPr>
          <w:rFonts w:ascii="Arial" w:hAnsi="Arial" w:cs="Arial"/>
          <w:b/>
          <w:bCs/>
          <w:i/>
          <w:sz w:val="20"/>
          <w:szCs w:val="20"/>
          <w:u w:val="single"/>
        </w:rPr>
        <w:t xml:space="preserve">Constitución Política </w:t>
      </w:r>
      <w:r w:rsidRPr="004A4D88">
        <w:rPr>
          <w:rStyle w:val="Textoennegrita"/>
          <w:rFonts w:ascii="Arial" w:hAnsi="Arial" w:cs="Arial"/>
          <w:b w:val="0"/>
          <w:i/>
          <w:color w:val="333333"/>
          <w:sz w:val="20"/>
          <w:szCs w:val="20"/>
          <w:u w:val="single"/>
        </w:rPr>
        <w:t>Artículo</w:t>
      </w:r>
      <w:bookmarkStart w:id="0" w:name="82"/>
      <w:bookmarkEnd w:id="0"/>
      <w:r w:rsidRPr="004A4D88">
        <w:rPr>
          <w:rStyle w:val="Textoennegrita"/>
          <w:rFonts w:ascii="Arial" w:hAnsi="Arial" w:cs="Arial"/>
          <w:b w:val="0"/>
          <w:i/>
          <w:color w:val="333333"/>
          <w:sz w:val="20"/>
          <w:szCs w:val="20"/>
          <w:u w:val="single"/>
        </w:rPr>
        <w:t> 82</w:t>
      </w:r>
      <w:r w:rsidRPr="004A4D88">
        <w:rPr>
          <w:rStyle w:val="Textoennegrita"/>
          <w:rFonts w:ascii="Arial" w:hAnsi="Arial" w:cs="Arial"/>
          <w:i/>
          <w:color w:val="333333"/>
          <w:sz w:val="20"/>
          <w:szCs w:val="20"/>
        </w:rPr>
        <w:t>. “</w:t>
      </w:r>
      <w:r w:rsidRPr="004A4D88">
        <w:rPr>
          <w:rFonts w:ascii="Arial" w:hAnsi="Arial" w:cs="Arial"/>
          <w:i/>
          <w:color w:val="333333"/>
          <w:sz w:val="20"/>
          <w:szCs w:val="20"/>
        </w:rPr>
        <w:t>Es deber del Estado velar por la protección de la integridad del espacio público y por su destinación al uso común, el cual prevalece sobre el interés particular. Las entidades públicas participarán en la plusvalía que genere su acción urbanística y regularán la utilización del suelo y del espacio aéreo urbano en defensa del interés común”.</w:t>
      </w:r>
    </w:p>
    <w:p w:rsidR="003D1C56" w:rsidRPr="004A4D88" w:rsidRDefault="003D1C56" w:rsidP="003D1C56">
      <w:pPr>
        <w:pStyle w:val="NormalWeb"/>
        <w:shd w:val="clear" w:color="auto" w:fill="FFFFFF"/>
        <w:ind w:left="709"/>
        <w:jc w:val="both"/>
        <w:rPr>
          <w:rFonts w:ascii="Arial" w:hAnsi="Arial" w:cs="Arial"/>
          <w:bCs/>
          <w:i/>
          <w:iCs/>
          <w:color w:val="333333"/>
          <w:sz w:val="20"/>
          <w:szCs w:val="20"/>
          <w:shd w:val="clear" w:color="auto" w:fill="FFFFFF"/>
          <w:lang w:val="es-ES_tradnl" w:eastAsia="es-ES"/>
        </w:rPr>
      </w:pPr>
      <w:r w:rsidRPr="004A4D88">
        <w:rPr>
          <w:rFonts w:ascii="Arial" w:hAnsi="Arial" w:cs="Arial"/>
          <w:b/>
          <w:i/>
          <w:color w:val="333333"/>
          <w:sz w:val="20"/>
          <w:szCs w:val="20"/>
          <w:u w:val="single"/>
        </w:rPr>
        <w:t xml:space="preserve">El </w:t>
      </w:r>
      <w:r w:rsidRPr="004A4D88">
        <w:rPr>
          <w:rFonts w:ascii="Arial" w:hAnsi="Arial" w:cs="Arial"/>
          <w:b/>
          <w:bCs/>
          <w:i/>
          <w:sz w:val="20"/>
          <w:szCs w:val="20"/>
          <w:u w:val="single"/>
        </w:rPr>
        <w:t>Decreto 315 de 2024</w:t>
      </w:r>
      <w:r w:rsidRPr="004A4D88">
        <w:rPr>
          <w:rFonts w:ascii="Arial" w:hAnsi="Arial" w:cs="Arial"/>
          <w:bCs/>
          <w:i/>
          <w:sz w:val="20"/>
          <w:szCs w:val="20"/>
        </w:rPr>
        <w:t xml:space="preserve"> </w:t>
      </w:r>
      <w:r w:rsidRPr="004A4D88">
        <w:rPr>
          <w:rFonts w:ascii="Arial" w:hAnsi="Arial" w:cs="Arial"/>
          <w:bCs/>
          <w:i/>
          <w:iCs/>
          <w:color w:val="333333"/>
          <w:sz w:val="20"/>
          <w:szCs w:val="20"/>
          <w:shd w:val="clear" w:color="auto" w:fill="FFFFFF"/>
          <w:lang w:val="es-ES_tradnl" w:eastAsia="es-ES"/>
        </w:rPr>
        <w:t>“Por medio del cual se reglamentan los artículos </w:t>
      </w:r>
      <w:hyperlink r:id="rId10" w:anchor="147" w:history="1">
        <w:r w:rsidRPr="004A4D88">
          <w:rPr>
            <w:rFonts w:ascii="Arial" w:hAnsi="Arial" w:cs="Arial"/>
            <w:i/>
            <w:iCs/>
            <w:color w:val="0000FF"/>
            <w:sz w:val="20"/>
            <w:szCs w:val="20"/>
            <w:u w:val="single"/>
            <w:lang w:val="es-ES_tradnl" w:eastAsia="es-ES"/>
          </w:rPr>
          <w:t>147</w:t>
        </w:r>
      </w:hyperlink>
      <w:r w:rsidRPr="004A4D88">
        <w:rPr>
          <w:rFonts w:ascii="Arial" w:hAnsi="Arial" w:cs="Arial"/>
          <w:bCs/>
          <w:i/>
          <w:iCs/>
          <w:color w:val="333333"/>
          <w:sz w:val="20"/>
          <w:szCs w:val="20"/>
          <w:shd w:val="clear" w:color="auto" w:fill="FFFFFF"/>
          <w:lang w:val="es-ES_tradnl" w:eastAsia="es-ES"/>
        </w:rPr>
        <w:t> y </w:t>
      </w:r>
      <w:hyperlink r:id="rId11" w:anchor="549" w:history="1">
        <w:r w:rsidRPr="004A4D88">
          <w:rPr>
            <w:rFonts w:ascii="Arial" w:hAnsi="Arial" w:cs="Arial"/>
            <w:i/>
            <w:iCs/>
            <w:color w:val="0000FF"/>
            <w:sz w:val="20"/>
            <w:szCs w:val="20"/>
            <w:u w:val="single"/>
            <w:lang w:val="es-ES_tradnl" w:eastAsia="es-ES"/>
          </w:rPr>
          <w:t>549</w:t>
        </w:r>
      </w:hyperlink>
      <w:r w:rsidRPr="004A4D88">
        <w:rPr>
          <w:rFonts w:ascii="Arial" w:hAnsi="Arial" w:cs="Arial"/>
          <w:bCs/>
          <w:i/>
          <w:iCs/>
          <w:color w:val="333333"/>
          <w:sz w:val="20"/>
          <w:szCs w:val="20"/>
          <w:shd w:val="clear" w:color="auto" w:fill="FFFFFF"/>
          <w:lang w:val="es-ES_tradnl" w:eastAsia="es-ES"/>
        </w:rPr>
        <w:t xml:space="preserve"> del Decreto Distrital 555 de 2021, en lo que tiene que ver con el aprovechamiento económico del espacio público y la explotación económica de la infraestructura pública en el Distrito Capital, y se dictan otras </w:t>
      </w:r>
      <w:r w:rsidRPr="004A4D88">
        <w:rPr>
          <w:rFonts w:ascii="Arial" w:hAnsi="Arial" w:cs="Arial"/>
          <w:bCs/>
          <w:iCs/>
          <w:color w:val="333333"/>
          <w:sz w:val="20"/>
          <w:szCs w:val="20"/>
          <w:shd w:val="clear" w:color="auto" w:fill="FFFFFF"/>
          <w:lang w:val="es-ES_tradnl" w:eastAsia="es-ES"/>
        </w:rPr>
        <w:t>disposiciones</w:t>
      </w:r>
      <w:r w:rsidRPr="004A4D88">
        <w:rPr>
          <w:rFonts w:ascii="Arial" w:hAnsi="Arial" w:cs="Arial"/>
          <w:bCs/>
          <w:i/>
          <w:iCs/>
          <w:color w:val="333333"/>
          <w:sz w:val="20"/>
          <w:szCs w:val="20"/>
          <w:shd w:val="clear" w:color="auto" w:fill="FFFFFF"/>
          <w:lang w:val="es-ES_tradnl" w:eastAsia="es-ES"/>
        </w:rPr>
        <w:t xml:space="preserve">” </w:t>
      </w:r>
    </w:p>
    <w:p w:rsidR="00FA0B41" w:rsidRPr="004A4D88" w:rsidRDefault="00FA0B41" w:rsidP="00FA0B41">
      <w:pPr>
        <w:shd w:val="clear" w:color="auto" w:fill="FFFFFF"/>
        <w:ind w:left="709"/>
        <w:jc w:val="both"/>
        <w:rPr>
          <w:rFonts w:cs="Arial"/>
          <w:i/>
          <w:color w:val="333333"/>
          <w:sz w:val="20"/>
          <w:lang w:val="es-CO" w:eastAsia="es-CO"/>
        </w:rPr>
      </w:pPr>
      <w:r w:rsidRPr="004A4D88">
        <w:rPr>
          <w:rFonts w:cs="Arial"/>
          <w:b/>
          <w:bCs/>
          <w:i/>
          <w:sz w:val="20"/>
          <w:u w:val="single"/>
          <w:lang w:val="es-CO" w:eastAsia="es-CO"/>
        </w:rPr>
        <w:lastRenderedPageBreak/>
        <w:t>Artículo</w:t>
      </w:r>
      <w:r w:rsidRPr="004A4D88">
        <w:rPr>
          <w:rFonts w:cs="Arial"/>
          <w:i/>
          <w:color w:val="333333"/>
          <w:sz w:val="20"/>
          <w:u w:val="single"/>
          <w:lang w:val="es-CO" w:eastAsia="es-CO"/>
        </w:rPr>
        <w:t> </w:t>
      </w:r>
      <w:r w:rsidRPr="004A4D88">
        <w:rPr>
          <w:rFonts w:cs="Arial"/>
          <w:b/>
          <w:bCs/>
          <w:i/>
          <w:sz w:val="20"/>
          <w:u w:val="single"/>
          <w:lang w:val="es-CO" w:eastAsia="es-CO"/>
        </w:rPr>
        <w:t>7.  </w:t>
      </w:r>
      <w:r w:rsidRPr="004A4D88">
        <w:rPr>
          <w:rFonts w:cs="Arial"/>
          <w:b/>
          <w:bCs/>
          <w:i/>
          <w:color w:val="333333"/>
          <w:sz w:val="20"/>
          <w:u w:val="single"/>
          <w:lang w:val="es-ES_tradnl" w:eastAsia="es-CO"/>
        </w:rPr>
        <w:t>Aprovechamiento económico del espacio público</w:t>
      </w:r>
      <w:r w:rsidRPr="004A4D88">
        <w:rPr>
          <w:rFonts w:cs="Arial"/>
          <w:b/>
          <w:bCs/>
          <w:i/>
          <w:color w:val="333333"/>
          <w:sz w:val="20"/>
          <w:lang w:val="es-ES_tradnl" w:eastAsia="es-CO"/>
        </w:rPr>
        <w:t>.</w:t>
      </w:r>
      <w:r w:rsidRPr="004A4D88">
        <w:rPr>
          <w:rFonts w:cs="Arial"/>
          <w:i/>
          <w:color w:val="333333"/>
          <w:sz w:val="20"/>
          <w:lang w:val="es-CO" w:eastAsia="es-CO"/>
        </w:rPr>
        <w:t> Es el desarrollo de actividades con motivación económica en los elementos constitutivos y/o complementarios del espacio público del Distrito Capital, previa autorización de la Entidad Gestora y/o Administradora, conforme a la temporalidad prevista en el presente decreto. El aprovechamiento económico del espacio público debe generar una retribución al Distrito Capital para contribuir a su mantenimiento, y/o mejoramiento, y en general a su sostenibilidad.    </w:t>
      </w:r>
    </w:p>
    <w:p w:rsidR="00FA0B41" w:rsidRPr="004A4D88" w:rsidRDefault="00FA0B41" w:rsidP="00FA0B41">
      <w:pPr>
        <w:shd w:val="clear" w:color="auto" w:fill="FFFFFF"/>
        <w:jc w:val="both"/>
        <w:rPr>
          <w:rFonts w:cs="Arial"/>
          <w:i/>
          <w:color w:val="333333"/>
          <w:sz w:val="20"/>
          <w:lang w:val="es-CO" w:eastAsia="es-CO"/>
        </w:rPr>
      </w:pPr>
      <w:r w:rsidRPr="004A4D88">
        <w:rPr>
          <w:rFonts w:cs="Arial"/>
          <w:i/>
          <w:color w:val="333333"/>
          <w:sz w:val="20"/>
          <w:lang w:val="es-CO" w:eastAsia="es-CO"/>
        </w:rPr>
        <w:t> </w:t>
      </w:r>
    </w:p>
    <w:p w:rsidR="00FA0B41" w:rsidRPr="004A4D88" w:rsidRDefault="00FA0B41" w:rsidP="00FA0B41">
      <w:pPr>
        <w:shd w:val="clear" w:color="auto" w:fill="FFFFFF"/>
        <w:ind w:left="709"/>
        <w:jc w:val="both"/>
        <w:rPr>
          <w:rFonts w:cs="Arial"/>
          <w:i/>
          <w:color w:val="333333"/>
          <w:sz w:val="20"/>
          <w:lang w:val="es-CO" w:eastAsia="es-CO"/>
        </w:rPr>
      </w:pPr>
      <w:r w:rsidRPr="004A4D88">
        <w:rPr>
          <w:rFonts w:cs="Arial"/>
          <w:i/>
          <w:color w:val="333333"/>
          <w:sz w:val="20"/>
          <w:lang w:val="es-CO" w:eastAsia="es-CO"/>
        </w:rPr>
        <w:t>Las autorizaciones para el desarrollo de actividades con aprovechamiento económico del espacio público son temporales y deben garantizar la integridad del espacio público y su libre acceso cuando se realicen actividades de aprovechamiento económico, así como velar porque cada elemento del espacio público se utilice para los propósitos para los que fue destinado o los que le sean compatibles, en consonancia con lo establecido en el Plan de Ordenamiento Territorial y las normas que lo reglamenten, sin perjuicio de su multifuncionalidad para mejorar la experiencia de cada elemento.</w:t>
      </w:r>
    </w:p>
    <w:p w:rsidR="00FA0B41" w:rsidRPr="004A4D88" w:rsidRDefault="00FA0B41" w:rsidP="00FA0B41">
      <w:pPr>
        <w:shd w:val="clear" w:color="auto" w:fill="FFFFFF"/>
        <w:ind w:left="709"/>
        <w:jc w:val="both"/>
        <w:rPr>
          <w:rFonts w:cs="Arial"/>
          <w:i/>
          <w:color w:val="333333"/>
          <w:sz w:val="20"/>
          <w:lang w:val="es-CO" w:eastAsia="es-CO"/>
        </w:rPr>
      </w:pPr>
    </w:p>
    <w:p w:rsidR="004407EF" w:rsidRPr="004A4D88" w:rsidRDefault="004407EF" w:rsidP="00FA0B41">
      <w:pPr>
        <w:shd w:val="clear" w:color="auto" w:fill="FFFFFF"/>
        <w:ind w:left="709"/>
        <w:jc w:val="both"/>
        <w:rPr>
          <w:rFonts w:cs="Arial"/>
          <w:i/>
          <w:color w:val="333333"/>
          <w:sz w:val="20"/>
          <w:lang w:val="es-CO" w:eastAsia="es-CO"/>
        </w:rPr>
      </w:pPr>
      <w:r w:rsidRPr="004A4D88">
        <w:rPr>
          <w:rFonts w:cs="Arial"/>
          <w:b/>
          <w:bCs/>
          <w:i/>
          <w:color w:val="333333"/>
          <w:sz w:val="20"/>
          <w:shd w:val="clear" w:color="auto" w:fill="FFFFFF"/>
        </w:rPr>
        <w:t xml:space="preserve">(…) </w:t>
      </w:r>
      <w:r w:rsidRPr="004A4D88">
        <w:rPr>
          <w:rFonts w:cs="Arial"/>
          <w:b/>
          <w:bCs/>
          <w:i/>
          <w:color w:val="333333"/>
          <w:sz w:val="20"/>
          <w:u w:val="single"/>
          <w:shd w:val="clear" w:color="auto" w:fill="FFFFFF"/>
        </w:rPr>
        <w:t>Artículo</w:t>
      </w:r>
      <w:r w:rsidRPr="004A4D88">
        <w:rPr>
          <w:rFonts w:cs="Arial"/>
          <w:i/>
          <w:color w:val="333333"/>
          <w:sz w:val="20"/>
          <w:u w:val="single"/>
          <w:shd w:val="clear" w:color="auto" w:fill="FFFFFF"/>
        </w:rPr>
        <w:t> </w:t>
      </w:r>
      <w:r w:rsidRPr="004A4D88">
        <w:rPr>
          <w:rFonts w:cs="Arial"/>
          <w:b/>
          <w:bCs/>
          <w:i/>
          <w:color w:val="333333"/>
          <w:sz w:val="20"/>
          <w:u w:val="single"/>
          <w:shd w:val="clear" w:color="auto" w:fill="FFFFFF"/>
        </w:rPr>
        <w:t>19. </w:t>
      </w:r>
      <w:r w:rsidRPr="004A4D88">
        <w:rPr>
          <w:rFonts w:cs="Arial"/>
          <w:b/>
          <w:bCs/>
          <w:i/>
          <w:iCs/>
          <w:color w:val="333333"/>
          <w:sz w:val="20"/>
          <w:u w:val="single"/>
          <w:shd w:val="clear" w:color="auto" w:fill="FFFFFF"/>
        </w:rPr>
        <w:t>Protocolos de aprovechamiento económico</w:t>
      </w:r>
      <w:r w:rsidRPr="004A4D88">
        <w:rPr>
          <w:rFonts w:cs="Arial"/>
          <w:b/>
          <w:bCs/>
          <w:i/>
          <w:color w:val="333333"/>
          <w:sz w:val="20"/>
          <w:shd w:val="clear" w:color="auto" w:fill="FFFFFF"/>
        </w:rPr>
        <w:t>.</w:t>
      </w:r>
      <w:r w:rsidRPr="004A4D88">
        <w:rPr>
          <w:rFonts w:cs="Arial"/>
          <w:i/>
          <w:color w:val="333333"/>
          <w:sz w:val="20"/>
          <w:shd w:val="clear" w:color="auto" w:fill="FFFFFF"/>
        </w:rPr>
        <w:t> El Protocolo de aprovechamiento económico es el documento o acto administrativo expedido por las Entidades Gestoras del Aprovechamiento Económico, en el cual se establecen los criterios, garantías, procedimientos, condiciones, fórmulas de retribución y duración, entre otros aspectos, aplicables a las autorizaciones de aprovechamiento económico, según la particularidad de cada una de las actividades en los distintos elementos y componentes del espacio público</w:t>
      </w:r>
      <w:r w:rsidRPr="004A4D88">
        <w:rPr>
          <w:rFonts w:cs="Arial"/>
          <w:color w:val="333333"/>
          <w:sz w:val="20"/>
          <w:shd w:val="clear" w:color="auto" w:fill="FFFFFF"/>
        </w:rPr>
        <w:t>. (…)</w:t>
      </w:r>
    </w:p>
    <w:p w:rsidR="00C3299B" w:rsidRPr="004A4D88" w:rsidRDefault="00B50AAC" w:rsidP="00CC764D">
      <w:pPr>
        <w:pStyle w:val="NormalWeb"/>
        <w:shd w:val="clear" w:color="auto" w:fill="FFFFFF"/>
        <w:jc w:val="both"/>
        <w:rPr>
          <w:rFonts w:ascii="Arial" w:hAnsi="Arial" w:cs="Arial"/>
          <w:color w:val="333333"/>
          <w:shd w:val="clear" w:color="auto" w:fill="FFFFFF"/>
        </w:rPr>
      </w:pPr>
      <w:r w:rsidRPr="004A4D88">
        <w:rPr>
          <w:rFonts w:ascii="Arial" w:hAnsi="Arial" w:cs="Arial"/>
          <w:bCs/>
        </w:rPr>
        <w:t xml:space="preserve">La realidad de los comerciantes de las plazas de mercado es crítica en nuestra ciudad y requieren de manera urgente sanear las deudas que tienen con el IPES y otorgar facilidades para que se logre una completa y real reactivación </w:t>
      </w:r>
      <w:r w:rsidR="00AB4FDB" w:rsidRPr="004A4D88">
        <w:rPr>
          <w:rFonts w:ascii="Arial" w:hAnsi="Arial" w:cs="Arial"/>
          <w:bCs/>
        </w:rPr>
        <w:t>económica para</w:t>
      </w:r>
      <w:r w:rsidR="00C3299B" w:rsidRPr="004A4D88">
        <w:rPr>
          <w:rFonts w:ascii="Arial" w:hAnsi="Arial" w:cs="Arial"/>
          <w:bCs/>
        </w:rPr>
        <w:t xml:space="preserve"> lograr consolidarse como </w:t>
      </w:r>
      <w:r w:rsidR="00C3299B" w:rsidRPr="004A4D88">
        <w:rPr>
          <w:rFonts w:ascii="Arial" w:hAnsi="Arial" w:cs="Arial"/>
          <w:color w:val="141414"/>
        </w:rPr>
        <w:t>epicentro del turismo gastronómico y se afiance</w:t>
      </w:r>
      <w:r w:rsidR="00C3299B" w:rsidRPr="004A4D88">
        <w:rPr>
          <w:rFonts w:ascii="Arial" w:hAnsi="Arial" w:cs="Arial"/>
          <w:color w:val="333333"/>
          <w:shd w:val="clear" w:color="auto" w:fill="FFFFFF"/>
        </w:rPr>
        <w:t xml:space="preserve"> como un sistema de abastecimiento alimentario en nuestra ciudad. </w:t>
      </w:r>
    </w:p>
    <w:p w:rsidR="00960D64" w:rsidRPr="004A4D88" w:rsidRDefault="00960D64" w:rsidP="00960D64">
      <w:pPr>
        <w:pStyle w:val="NormalWeb"/>
        <w:shd w:val="clear" w:color="auto" w:fill="FFFFFF"/>
        <w:jc w:val="both"/>
        <w:rPr>
          <w:rFonts w:ascii="Arial" w:hAnsi="Arial" w:cs="Arial"/>
          <w:b/>
          <w:bCs/>
          <w:color w:val="333333"/>
          <w:shd w:val="clear" w:color="auto" w:fill="FFFFFF"/>
        </w:rPr>
      </w:pPr>
      <w:r w:rsidRPr="004A4D88">
        <w:rPr>
          <w:rFonts w:ascii="Arial" w:hAnsi="Arial" w:cs="Arial"/>
          <w:bCs/>
        </w:rPr>
        <w:t xml:space="preserve">Lo establecido en el </w:t>
      </w:r>
      <w:r w:rsidRPr="004A4D88">
        <w:rPr>
          <w:rFonts w:ascii="Arial" w:hAnsi="Arial" w:cs="Arial"/>
          <w:b/>
          <w:bCs/>
          <w:color w:val="333333"/>
        </w:rPr>
        <w:t>Acuerdo 927 </w:t>
      </w:r>
      <w:r w:rsidRPr="004A4D88">
        <w:rPr>
          <w:rFonts w:ascii="Arial" w:hAnsi="Arial" w:cs="Arial"/>
          <w:b/>
          <w:bCs/>
          <w:color w:val="333333"/>
          <w:lang w:val="es-419"/>
        </w:rPr>
        <w:t>de </w:t>
      </w:r>
      <w:r w:rsidRPr="004A4D88">
        <w:rPr>
          <w:rFonts w:ascii="Arial" w:hAnsi="Arial" w:cs="Arial"/>
          <w:b/>
          <w:bCs/>
          <w:color w:val="333333"/>
        </w:rPr>
        <w:t>2024 “</w:t>
      </w:r>
      <w:r w:rsidRPr="004A4D88">
        <w:rPr>
          <w:rFonts w:ascii="Arial" w:hAnsi="Arial" w:cs="Arial"/>
          <w:b/>
          <w:bCs/>
          <w:iCs/>
          <w:color w:val="333333"/>
        </w:rPr>
        <w:t xml:space="preserve">Por medio del cual se adopta el Plan de Desarrollo Económico, Social, Ambiental y de Obras Públicas del Distrito Capital 2024-2027 “Bogotá Camina Segura” </w:t>
      </w:r>
      <w:r w:rsidRPr="004A4D88">
        <w:rPr>
          <w:rFonts w:ascii="Arial" w:hAnsi="Arial" w:cs="Arial"/>
          <w:bCs/>
          <w:iCs/>
          <w:color w:val="333333"/>
        </w:rPr>
        <w:t>estableció medidas para proteger el patrimonio cultural de la ciudad consagrado en el artículo</w:t>
      </w:r>
      <w:r w:rsidRPr="004A4D88">
        <w:rPr>
          <w:rFonts w:ascii="Arial" w:hAnsi="Arial" w:cs="Arial"/>
          <w:b/>
          <w:bCs/>
          <w:color w:val="333333"/>
          <w:shd w:val="clear" w:color="auto" w:fill="FFFFFF"/>
        </w:rPr>
        <w:t xml:space="preserve"> 270 que dispone lo siguiente: </w:t>
      </w:r>
    </w:p>
    <w:p w:rsidR="00FB7194" w:rsidRPr="004A4D88" w:rsidRDefault="009454FF" w:rsidP="00960D64">
      <w:pPr>
        <w:pStyle w:val="NormalWeb"/>
        <w:shd w:val="clear" w:color="auto" w:fill="FFFFFF"/>
        <w:ind w:left="1418"/>
        <w:jc w:val="both"/>
        <w:rPr>
          <w:rFonts w:ascii="Arial" w:hAnsi="Arial" w:cs="Arial"/>
          <w:color w:val="333333"/>
          <w:shd w:val="clear" w:color="auto" w:fill="FFFFFF"/>
        </w:rPr>
      </w:pPr>
      <w:r w:rsidRPr="004A4D88">
        <w:rPr>
          <w:rFonts w:ascii="Arial" w:hAnsi="Arial" w:cs="Arial"/>
          <w:b/>
          <w:bCs/>
          <w:i/>
          <w:color w:val="333333"/>
          <w:sz w:val="20"/>
          <w:szCs w:val="20"/>
          <w:shd w:val="clear" w:color="auto" w:fill="FFFFFF"/>
        </w:rPr>
        <w:t>Artículo</w:t>
      </w:r>
      <w:r w:rsidRPr="004A4D88">
        <w:rPr>
          <w:rFonts w:ascii="Arial" w:hAnsi="Arial" w:cs="Arial"/>
          <w:i/>
          <w:color w:val="333333"/>
          <w:sz w:val="20"/>
          <w:szCs w:val="20"/>
          <w:shd w:val="clear" w:color="auto" w:fill="FFFFFF"/>
        </w:rPr>
        <w:t> </w:t>
      </w:r>
      <w:r w:rsidRPr="004A4D88">
        <w:rPr>
          <w:rFonts w:ascii="Arial" w:hAnsi="Arial" w:cs="Arial"/>
          <w:b/>
          <w:bCs/>
          <w:i/>
          <w:color w:val="333333"/>
          <w:sz w:val="20"/>
          <w:szCs w:val="20"/>
          <w:shd w:val="clear" w:color="auto" w:fill="FFFFFF"/>
        </w:rPr>
        <w:t>270. Depuración de cartera. </w:t>
      </w:r>
      <w:r w:rsidRPr="004A4D88">
        <w:rPr>
          <w:rFonts w:ascii="Arial" w:hAnsi="Arial" w:cs="Arial"/>
          <w:i/>
          <w:color w:val="333333"/>
          <w:sz w:val="20"/>
          <w:szCs w:val="20"/>
          <w:shd w:val="clear" w:color="auto" w:fill="FFFFFF"/>
        </w:rPr>
        <w:t>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r w:rsidRPr="004A4D88">
        <w:rPr>
          <w:rFonts w:ascii="Arial" w:hAnsi="Arial" w:cs="Arial"/>
          <w:color w:val="333333"/>
          <w:shd w:val="clear" w:color="auto" w:fill="FFFFFF"/>
        </w:rPr>
        <w:t>.</w:t>
      </w:r>
    </w:p>
    <w:p w:rsidR="00FB7194" w:rsidRPr="004A4D88" w:rsidRDefault="00FB7194" w:rsidP="004741C3">
      <w:pPr>
        <w:shd w:val="clear" w:color="auto" w:fill="FFFFFF"/>
        <w:jc w:val="both"/>
        <w:rPr>
          <w:rFonts w:cs="Arial"/>
          <w:szCs w:val="24"/>
        </w:rPr>
      </w:pPr>
    </w:p>
    <w:p w:rsidR="001B3573" w:rsidRPr="004A4D88" w:rsidRDefault="001B3573" w:rsidP="004741C3">
      <w:pPr>
        <w:shd w:val="clear" w:color="auto" w:fill="FFFFFF"/>
        <w:jc w:val="both"/>
        <w:rPr>
          <w:rFonts w:cs="Arial"/>
          <w:bCs/>
          <w:color w:val="auto"/>
          <w:szCs w:val="24"/>
          <w:lang w:val="es-CO"/>
        </w:rPr>
      </w:pPr>
      <w:r w:rsidRPr="004A4D88">
        <w:rPr>
          <w:rFonts w:cs="Arial"/>
          <w:szCs w:val="24"/>
        </w:rPr>
        <w:t>En conclusión, para lograr una completa eficiencia institucional</w:t>
      </w:r>
      <w:r w:rsidR="00E121B3" w:rsidRPr="004A4D88">
        <w:rPr>
          <w:rFonts w:cs="Arial"/>
          <w:szCs w:val="24"/>
        </w:rPr>
        <w:t xml:space="preserve"> </w:t>
      </w:r>
      <w:r w:rsidRPr="004A4D88">
        <w:rPr>
          <w:rFonts w:cs="Arial"/>
          <w:szCs w:val="24"/>
        </w:rPr>
        <w:t xml:space="preserve">sobre la cartera de los vivanderos de </w:t>
      </w:r>
      <w:r w:rsidRPr="004A4D88">
        <w:rPr>
          <w:rFonts w:cs="Arial"/>
          <w:bCs/>
          <w:color w:val="auto"/>
          <w:szCs w:val="24"/>
          <w:lang w:val="es-CO"/>
        </w:rPr>
        <w:t>las plazas de mercado</w:t>
      </w:r>
      <w:r w:rsidR="00E121B3" w:rsidRPr="004A4D88">
        <w:rPr>
          <w:rFonts w:cs="Arial"/>
          <w:bCs/>
          <w:color w:val="auto"/>
          <w:szCs w:val="24"/>
          <w:lang w:val="es-CO"/>
        </w:rPr>
        <w:t xml:space="preserve"> con el instituto para la economía social (IPES) se deben fomentar los mecanismos de concertación y conciliación en el que se genere los instrumentos que permitan </w:t>
      </w:r>
      <w:r w:rsidR="004E4B7C" w:rsidRPr="004A4D88">
        <w:rPr>
          <w:rFonts w:cs="Arial"/>
          <w:bCs/>
          <w:color w:val="auto"/>
          <w:szCs w:val="24"/>
          <w:lang w:val="es-CO"/>
        </w:rPr>
        <w:t>el saneamiento de la cartera.</w:t>
      </w:r>
    </w:p>
    <w:p w:rsidR="001B3573" w:rsidRPr="004A4D88" w:rsidRDefault="001B3573" w:rsidP="004741C3">
      <w:pPr>
        <w:shd w:val="clear" w:color="auto" w:fill="FFFFFF"/>
        <w:jc w:val="both"/>
        <w:rPr>
          <w:rFonts w:cs="Arial"/>
          <w:bCs/>
          <w:color w:val="auto"/>
          <w:szCs w:val="24"/>
          <w:lang w:val="es-CO"/>
        </w:rPr>
      </w:pPr>
    </w:p>
    <w:p w:rsidR="003649F4" w:rsidRPr="004A4D88" w:rsidRDefault="003649F4" w:rsidP="003649F4">
      <w:pPr>
        <w:widowControl w:val="0"/>
        <w:shd w:val="clear" w:color="auto" w:fill="FFFFFF"/>
        <w:tabs>
          <w:tab w:val="left" w:pos="1560"/>
        </w:tabs>
        <w:suppressAutoHyphens/>
        <w:autoSpaceDN w:val="0"/>
        <w:spacing w:after="240"/>
        <w:jc w:val="center"/>
        <w:textAlignment w:val="baseline"/>
        <w:rPr>
          <w:rFonts w:cs="Arial"/>
          <w:color w:val="373742"/>
          <w:sz w:val="22"/>
          <w:szCs w:val="22"/>
        </w:rPr>
      </w:pPr>
      <w:r w:rsidRPr="004A4D88">
        <w:rPr>
          <w:rFonts w:cs="Arial"/>
          <w:noProof/>
          <w:lang w:val="es-CO" w:eastAsia="es-CO"/>
        </w:rPr>
        <w:drawing>
          <wp:inline distT="0" distB="0" distL="0" distR="0" wp14:anchorId="19994115" wp14:editId="6B530E23">
            <wp:extent cx="1777861" cy="1334763"/>
            <wp:effectExtent l="0" t="0" r="0" b="0"/>
            <wp:docPr id="2" name="Imagen 2" descr="Plazas de Mercado en Bogotá. Cortesía Prensa Secretaría de Desarrollo Económ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zas de Mercado en Bogotá. Cortesía Prensa Secretaría de Desarrollo Económic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8730" cy="1342923"/>
                    </a:xfrm>
                    <a:prstGeom prst="rect">
                      <a:avLst/>
                    </a:prstGeom>
                    <a:noFill/>
                    <a:ln>
                      <a:noFill/>
                    </a:ln>
                  </pic:spPr>
                </pic:pic>
              </a:graphicData>
            </a:graphic>
          </wp:inline>
        </w:drawing>
      </w:r>
    </w:p>
    <w:p w:rsidR="003649F4" w:rsidRPr="00A046C8" w:rsidRDefault="002809AC" w:rsidP="004E4B7C">
      <w:pPr>
        <w:widowControl w:val="0"/>
        <w:shd w:val="clear" w:color="auto" w:fill="FFFFFF"/>
        <w:tabs>
          <w:tab w:val="left" w:pos="1560"/>
        </w:tabs>
        <w:suppressAutoHyphens/>
        <w:autoSpaceDN w:val="0"/>
        <w:spacing w:after="240"/>
        <w:jc w:val="center"/>
        <w:textAlignment w:val="baseline"/>
        <w:rPr>
          <w:rFonts w:cs="Arial"/>
          <w:b/>
          <w:color w:val="373742"/>
          <w:sz w:val="16"/>
          <w:szCs w:val="16"/>
        </w:rPr>
      </w:pPr>
      <w:r w:rsidRPr="00A046C8">
        <w:rPr>
          <w:rFonts w:cs="Arial"/>
          <w:b/>
          <w:color w:val="373742"/>
          <w:sz w:val="16"/>
          <w:szCs w:val="16"/>
        </w:rPr>
        <w:t>Fuente: Plazas de Mercado en Bogotá. Cortesía Prensa Secretaría de Desarrollo Económico</w:t>
      </w:r>
    </w:p>
    <w:p w:rsidR="00300A2A" w:rsidRPr="004A4D88" w:rsidRDefault="00300A2A" w:rsidP="00300A2A">
      <w:pPr>
        <w:widowControl w:val="0"/>
        <w:shd w:val="clear" w:color="auto" w:fill="FFFFFF"/>
        <w:tabs>
          <w:tab w:val="left" w:pos="1560"/>
        </w:tabs>
        <w:suppressAutoHyphens/>
        <w:autoSpaceDN w:val="0"/>
        <w:spacing w:after="240"/>
        <w:textAlignment w:val="baseline"/>
        <w:rPr>
          <w:rFonts w:cs="Arial"/>
          <w:color w:val="373742"/>
          <w:sz w:val="16"/>
          <w:szCs w:val="16"/>
        </w:rPr>
      </w:pPr>
    </w:p>
    <w:p w:rsidR="00742A4C" w:rsidRPr="004A4D88" w:rsidRDefault="00CE088A" w:rsidP="00CE088A">
      <w:pPr>
        <w:ind w:left="360"/>
        <w:jc w:val="both"/>
        <w:rPr>
          <w:rFonts w:cs="Arial"/>
          <w:bCs/>
          <w:color w:val="auto"/>
          <w:sz w:val="22"/>
          <w:szCs w:val="22"/>
          <w:lang w:val="es-CO"/>
        </w:rPr>
      </w:pPr>
      <w:r w:rsidRPr="004A4D88">
        <w:rPr>
          <w:rFonts w:cs="Arial"/>
          <w:b/>
          <w:bCs/>
          <w:color w:val="auto"/>
          <w:sz w:val="22"/>
          <w:szCs w:val="22"/>
          <w:lang w:val="es-CO"/>
        </w:rPr>
        <w:t>6.</w:t>
      </w:r>
      <w:r w:rsidR="00742A4C" w:rsidRPr="004A4D88">
        <w:rPr>
          <w:rFonts w:cs="Arial"/>
          <w:b/>
          <w:bCs/>
          <w:color w:val="auto"/>
          <w:sz w:val="22"/>
          <w:szCs w:val="22"/>
          <w:lang w:val="es-CO"/>
        </w:rPr>
        <w:t xml:space="preserve"> COMPETENCIA</w:t>
      </w:r>
      <w:r w:rsidR="00766773" w:rsidRPr="004A4D88">
        <w:rPr>
          <w:rFonts w:cs="Arial"/>
          <w:b/>
          <w:bCs/>
          <w:color w:val="auto"/>
          <w:sz w:val="22"/>
          <w:szCs w:val="22"/>
          <w:lang w:val="es-CO"/>
        </w:rPr>
        <w:t xml:space="preserve"> DEL CONCEJO </w:t>
      </w:r>
    </w:p>
    <w:p w:rsidR="00742A4C" w:rsidRPr="004A4D88" w:rsidRDefault="00742A4C" w:rsidP="00742A4C">
      <w:pPr>
        <w:pStyle w:val="Prrafodelista"/>
        <w:ind w:left="720"/>
        <w:jc w:val="both"/>
        <w:rPr>
          <w:rFonts w:cs="Arial"/>
          <w:bCs/>
          <w:color w:val="auto"/>
          <w:sz w:val="22"/>
          <w:szCs w:val="22"/>
          <w:lang w:val="es-CO"/>
        </w:rPr>
      </w:pPr>
      <w:r w:rsidRPr="004A4D88">
        <w:rPr>
          <w:rFonts w:cs="Arial"/>
          <w:bCs/>
          <w:color w:val="auto"/>
          <w:sz w:val="22"/>
          <w:szCs w:val="22"/>
          <w:lang w:val="es-CO"/>
        </w:rPr>
        <w:t xml:space="preserve"> </w:t>
      </w: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rsidR="00742A4C" w:rsidRPr="004A4D88" w:rsidRDefault="00742A4C" w:rsidP="00742A4C">
      <w:pPr>
        <w:jc w:val="both"/>
        <w:rPr>
          <w:rFonts w:cs="Arial"/>
          <w:bCs/>
          <w:color w:val="auto"/>
          <w:sz w:val="22"/>
          <w:szCs w:val="22"/>
          <w:lang w:val="es-CO"/>
        </w:rPr>
      </w:pP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Artículo 313. “Corresponde a los Concejos:</w:t>
      </w:r>
    </w:p>
    <w:p w:rsidR="004F12E0" w:rsidRPr="004A4D88" w:rsidRDefault="004F12E0" w:rsidP="00742A4C">
      <w:pPr>
        <w:jc w:val="both"/>
        <w:rPr>
          <w:rFonts w:cs="Arial"/>
          <w:bCs/>
          <w:color w:val="auto"/>
          <w:sz w:val="22"/>
          <w:szCs w:val="22"/>
          <w:lang w:val="es-CO"/>
        </w:rPr>
      </w:pPr>
    </w:p>
    <w:p w:rsidR="00A27483" w:rsidRPr="004A4D88" w:rsidRDefault="00742A4C" w:rsidP="00A27483">
      <w:pPr>
        <w:jc w:val="both"/>
        <w:rPr>
          <w:rFonts w:cs="Arial"/>
          <w:bCs/>
          <w:color w:val="auto"/>
          <w:sz w:val="22"/>
          <w:szCs w:val="22"/>
          <w:lang w:val="es-CO"/>
        </w:rPr>
      </w:pPr>
      <w:r w:rsidRPr="004A4D88">
        <w:rPr>
          <w:rFonts w:cs="Arial"/>
          <w:bCs/>
          <w:color w:val="auto"/>
          <w:sz w:val="22"/>
          <w:szCs w:val="22"/>
          <w:lang w:val="es-CO"/>
        </w:rPr>
        <w:t>1. Reglamentar las funciones y la eficiente prestación de los servicios a cargo del municipio (...)</w:t>
      </w:r>
      <w:proofErr w:type="gramStart"/>
      <w:r w:rsidRPr="004A4D88">
        <w:rPr>
          <w:rFonts w:cs="Arial"/>
          <w:bCs/>
          <w:color w:val="auto"/>
          <w:sz w:val="22"/>
          <w:szCs w:val="22"/>
          <w:lang w:val="es-CO"/>
        </w:rPr>
        <w:t>”.</w:t>
      </w:r>
      <w:r w:rsidR="00A27483" w:rsidRPr="004A4D88">
        <w:rPr>
          <w:rFonts w:cs="Arial"/>
          <w:bCs/>
          <w:color w:val="auto"/>
          <w:sz w:val="22"/>
          <w:szCs w:val="22"/>
          <w:lang w:val="es-CO"/>
        </w:rPr>
        <w:t>lugar</w:t>
      </w:r>
      <w:proofErr w:type="gramEnd"/>
      <w:r w:rsidR="00A27483" w:rsidRPr="004A4D88">
        <w:rPr>
          <w:rFonts w:cs="Arial"/>
          <w:bCs/>
          <w:color w:val="auto"/>
          <w:sz w:val="22"/>
          <w:szCs w:val="22"/>
          <w:lang w:val="es-CO"/>
        </w:rPr>
        <w:t>, el artículo 12 del Decreto Ley 1421 de 1993 - Estatuto Orgánico de Bogotá - estipula que:</w:t>
      </w:r>
    </w:p>
    <w:p w:rsidR="00A27483" w:rsidRPr="004A4D88" w:rsidRDefault="00A27483" w:rsidP="00A27483">
      <w:pPr>
        <w:jc w:val="both"/>
        <w:rPr>
          <w:rFonts w:cs="Arial"/>
          <w:bCs/>
          <w:color w:val="auto"/>
          <w:sz w:val="22"/>
          <w:szCs w:val="22"/>
          <w:lang w:val="es-CO"/>
        </w:rPr>
      </w:pPr>
    </w:p>
    <w:p w:rsidR="00A27483" w:rsidRPr="004A4D88" w:rsidRDefault="00A27483" w:rsidP="00A27483">
      <w:pPr>
        <w:jc w:val="both"/>
        <w:rPr>
          <w:rFonts w:cs="Arial"/>
          <w:bCs/>
          <w:color w:val="auto"/>
          <w:sz w:val="22"/>
          <w:szCs w:val="22"/>
          <w:lang w:val="es-CO"/>
        </w:rPr>
      </w:pPr>
      <w:r w:rsidRPr="004A4D88">
        <w:rPr>
          <w:rFonts w:cs="Arial"/>
          <w:bCs/>
          <w:color w:val="auto"/>
          <w:sz w:val="22"/>
          <w:szCs w:val="22"/>
          <w:lang w:val="es-CO"/>
        </w:rPr>
        <w:t>Artículo 12. Atribuciones. “Corresponde al Concejo Distrital, de conformidad con la Constitución y a la ley:</w:t>
      </w:r>
    </w:p>
    <w:p w:rsidR="00A27483" w:rsidRPr="004A4D88" w:rsidRDefault="00A27483" w:rsidP="00A27483">
      <w:pPr>
        <w:jc w:val="both"/>
        <w:rPr>
          <w:rFonts w:cs="Arial"/>
          <w:bCs/>
          <w:color w:val="auto"/>
          <w:sz w:val="22"/>
          <w:szCs w:val="22"/>
          <w:lang w:val="es-CO"/>
        </w:rPr>
      </w:pPr>
    </w:p>
    <w:p w:rsidR="00A27483" w:rsidRPr="004A4D88" w:rsidRDefault="00A27483" w:rsidP="00A27483">
      <w:pPr>
        <w:jc w:val="both"/>
        <w:rPr>
          <w:rFonts w:cs="Arial"/>
          <w:bCs/>
          <w:color w:val="auto"/>
          <w:sz w:val="22"/>
          <w:szCs w:val="22"/>
          <w:lang w:val="es-CO"/>
        </w:rPr>
      </w:pPr>
      <w:r w:rsidRPr="004A4D88">
        <w:rPr>
          <w:rFonts w:cs="Arial"/>
          <w:bCs/>
          <w:color w:val="auto"/>
          <w:sz w:val="22"/>
          <w:szCs w:val="22"/>
          <w:lang w:val="es-CO"/>
        </w:rPr>
        <w:t>1. Dictar las normas necesarias para garantizar el adecuado cumplimiento de las funciones y la eficiente prestación de los servicios a cargo del Distrito</w:t>
      </w:r>
    </w:p>
    <w:p w:rsidR="00A27483" w:rsidRPr="004A4D88" w:rsidRDefault="00A27483" w:rsidP="00A27483">
      <w:pPr>
        <w:jc w:val="both"/>
        <w:rPr>
          <w:rFonts w:cs="Arial"/>
          <w:bCs/>
          <w:color w:val="auto"/>
          <w:sz w:val="22"/>
          <w:szCs w:val="22"/>
          <w:lang w:val="es-CO"/>
        </w:rPr>
      </w:pPr>
      <w:r w:rsidRPr="004A4D88">
        <w:rPr>
          <w:rFonts w:cs="Arial"/>
          <w:bCs/>
          <w:color w:val="auto"/>
          <w:sz w:val="22"/>
          <w:szCs w:val="22"/>
          <w:lang w:val="es-CO"/>
        </w:rPr>
        <w:t>(...)</w:t>
      </w:r>
    </w:p>
    <w:p w:rsidR="00742A4C" w:rsidRPr="004A4D88" w:rsidRDefault="00742A4C" w:rsidP="00742A4C">
      <w:pPr>
        <w:jc w:val="both"/>
        <w:rPr>
          <w:rFonts w:cs="Arial"/>
          <w:bCs/>
          <w:color w:val="auto"/>
          <w:sz w:val="22"/>
          <w:szCs w:val="22"/>
          <w:lang w:val="es-CO"/>
        </w:rPr>
      </w:pPr>
    </w:p>
    <w:p w:rsidR="00742A4C" w:rsidRPr="004A4D88" w:rsidRDefault="00742A4C" w:rsidP="00A27483">
      <w:pPr>
        <w:jc w:val="both"/>
        <w:rPr>
          <w:rFonts w:cs="Arial"/>
          <w:bCs/>
          <w:color w:val="auto"/>
          <w:sz w:val="22"/>
          <w:szCs w:val="22"/>
          <w:lang w:val="es-CO"/>
        </w:rPr>
      </w:pPr>
      <w:r w:rsidRPr="004A4D88">
        <w:rPr>
          <w:rFonts w:cs="Arial"/>
          <w:bCs/>
          <w:color w:val="auto"/>
          <w:sz w:val="22"/>
          <w:szCs w:val="22"/>
          <w:lang w:val="es-CO"/>
        </w:rPr>
        <w:t xml:space="preserve">En segundo </w:t>
      </w:r>
    </w:p>
    <w:p w:rsidR="00766773" w:rsidRPr="004A4D88" w:rsidRDefault="00766773" w:rsidP="00742A4C">
      <w:pPr>
        <w:jc w:val="both"/>
        <w:rPr>
          <w:rFonts w:cs="Arial"/>
          <w:bCs/>
          <w:color w:val="auto"/>
          <w:sz w:val="22"/>
          <w:szCs w:val="22"/>
          <w:lang w:val="es-CO"/>
        </w:rPr>
      </w:pP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23. Ejercer de conformidad con lo dispuesto en el artículo 7º del presente estatuto, las atribuciones que la Constitución y las leyes asignen a las asambleas departamentales.</w:t>
      </w:r>
    </w:p>
    <w:p w:rsidR="00742A4C" w:rsidRPr="004A4D88" w:rsidRDefault="00742A4C" w:rsidP="00742A4C">
      <w:pPr>
        <w:jc w:val="both"/>
        <w:rPr>
          <w:rFonts w:cs="Arial"/>
          <w:bCs/>
          <w:color w:val="auto"/>
          <w:sz w:val="22"/>
          <w:szCs w:val="22"/>
          <w:lang w:val="es-CO"/>
        </w:rPr>
      </w:pPr>
      <w:r w:rsidRPr="004A4D88">
        <w:rPr>
          <w:rFonts w:cs="Arial"/>
          <w:bCs/>
          <w:color w:val="auto"/>
          <w:sz w:val="22"/>
          <w:szCs w:val="22"/>
          <w:lang w:val="es-CO"/>
        </w:rPr>
        <w:t>(...)”.</w:t>
      </w:r>
    </w:p>
    <w:p w:rsidR="00742A4C" w:rsidRPr="004A4D88" w:rsidRDefault="00CE088A" w:rsidP="00300A2A">
      <w:pPr>
        <w:jc w:val="both"/>
        <w:rPr>
          <w:rFonts w:cs="Arial"/>
          <w:b/>
          <w:bCs/>
          <w:color w:val="auto"/>
          <w:sz w:val="22"/>
          <w:szCs w:val="22"/>
          <w:lang w:val="es-CO"/>
        </w:rPr>
      </w:pPr>
      <w:r w:rsidRPr="004A4D88">
        <w:rPr>
          <w:rFonts w:cs="Arial"/>
          <w:b/>
          <w:bCs/>
          <w:color w:val="auto"/>
          <w:sz w:val="22"/>
          <w:szCs w:val="22"/>
          <w:lang w:val="es-CO"/>
        </w:rPr>
        <w:lastRenderedPageBreak/>
        <w:t>7</w:t>
      </w:r>
      <w:r w:rsidR="00300A2A" w:rsidRPr="004A4D88">
        <w:rPr>
          <w:rFonts w:cs="Arial"/>
          <w:b/>
          <w:bCs/>
          <w:color w:val="auto"/>
          <w:sz w:val="22"/>
          <w:szCs w:val="22"/>
          <w:lang w:val="es-CO"/>
        </w:rPr>
        <w:t>.</w:t>
      </w:r>
      <w:r w:rsidR="00742A4C" w:rsidRPr="004A4D88">
        <w:rPr>
          <w:rFonts w:cs="Arial"/>
          <w:b/>
          <w:bCs/>
          <w:color w:val="auto"/>
          <w:sz w:val="22"/>
          <w:szCs w:val="22"/>
          <w:lang w:val="es-CO"/>
        </w:rPr>
        <w:t xml:space="preserve">IMPACTO FISCAL </w:t>
      </w:r>
    </w:p>
    <w:p w:rsidR="00742A4C" w:rsidRPr="004A4D88" w:rsidRDefault="00742A4C" w:rsidP="00742A4C">
      <w:pPr>
        <w:jc w:val="both"/>
        <w:rPr>
          <w:rFonts w:cs="Arial"/>
          <w:bCs/>
          <w:color w:val="auto"/>
          <w:sz w:val="22"/>
          <w:szCs w:val="22"/>
          <w:lang w:val="es-CO"/>
        </w:rPr>
      </w:pPr>
    </w:p>
    <w:p w:rsidR="009B652A" w:rsidRPr="004A4D88" w:rsidRDefault="00766773" w:rsidP="00CE790C">
      <w:pPr>
        <w:spacing w:after="240"/>
        <w:jc w:val="both"/>
        <w:rPr>
          <w:rFonts w:cs="Arial"/>
          <w:bCs/>
          <w:color w:val="000000" w:themeColor="text1"/>
          <w:sz w:val="22"/>
          <w:szCs w:val="22"/>
          <w:lang w:val="es-CO"/>
        </w:rPr>
      </w:pPr>
      <w:r w:rsidRPr="004A4D88">
        <w:rPr>
          <w:rFonts w:cs="Arial"/>
          <w:b/>
          <w:bCs/>
          <w:color w:val="000000" w:themeColor="text1"/>
          <w:sz w:val="22"/>
          <w:szCs w:val="22"/>
          <w:u w:val="single"/>
          <w:lang w:val="es-CO"/>
        </w:rPr>
        <w:t xml:space="preserve">Según los autores de la </w:t>
      </w:r>
      <w:r w:rsidR="00742A4C" w:rsidRPr="004A4D88">
        <w:rPr>
          <w:rFonts w:cs="Arial"/>
          <w:b/>
          <w:bCs/>
          <w:color w:val="000000" w:themeColor="text1"/>
          <w:sz w:val="22"/>
          <w:szCs w:val="22"/>
          <w:u w:val="single"/>
          <w:lang w:val="es-CO"/>
        </w:rPr>
        <w:t xml:space="preserve">presente </w:t>
      </w:r>
      <w:r w:rsidRPr="004A4D88">
        <w:rPr>
          <w:rFonts w:cs="Arial"/>
          <w:b/>
          <w:bCs/>
          <w:color w:val="000000" w:themeColor="text1"/>
          <w:sz w:val="22"/>
          <w:szCs w:val="22"/>
          <w:u w:val="single"/>
          <w:lang w:val="es-CO"/>
        </w:rPr>
        <w:t>iniciativa   señalan que</w:t>
      </w:r>
      <w:r w:rsidRPr="004A4D88">
        <w:rPr>
          <w:rFonts w:cs="Arial"/>
          <w:bCs/>
          <w:color w:val="000000" w:themeColor="text1"/>
          <w:sz w:val="22"/>
          <w:szCs w:val="22"/>
          <w:lang w:val="es-CO"/>
        </w:rPr>
        <w:t>:</w:t>
      </w:r>
      <w:r w:rsidR="00742A4C" w:rsidRPr="004A4D88">
        <w:rPr>
          <w:rFonts w:cs="Arial"/>
          <w:bCs/>
          <w:color w:val="000000" w:themeColor="text1"/>
          <w:sz w:val="22"/>
          <w:szCs w:val="22"/>
          <w:lang w:val="es-CO"/>
        </w:rPr>
        <w:t xml:space="preserve"> no impacta fiscalmente las finanzas, </w:t>
      </w:r>
      <w:r w:rsidR="004A136C" w:rsidRPr="004A4D88">
        <w:rPr>
          <w:rFonts w:cs="Arial"/>
          <w:bCs/>
          <w:color w:val="000000" w:themeColor="text1"/>
          <w:sz w:val="22"/>
          <w:szCs w:val="22"/>
          <w:lang w:val="es-CO"/>
        </w:rPr>
        <w:t xml:space="preserve">el presupuesto, y, en general, la economía del distrito, en medida que las </w:t>
      </w:r>
      <w:r w:rsidR="009461E1" w:rsidRPr="004A4D88">
        <w:rPr>
          <w:rFonts w:cs="Arial"/>
          <w:bCs/>
          <w:color w:val="000000" w:themeColor="text1"/>
          <w:sz w:val="22"/>
          <w:szCs w:val="22"/>
          <w:lang w:val="es-CO"/>
        </w:rPr>
        <w:t>obligaciones y</w:t>
      </w:r>
      <w:r w:rsidR="004A136C" w:rsidRPr="004A4D88">
        <w:rPr>
          <w:rFonts w:cs="Arial"/>
          <w:bCs/>
          <w:color w:val="000000" w:themeColor="text1"/>
          <w:sz w:val="22"/>
          <w:szCs w:val="22"/>
          <w:lang w:val="es-CO"/>
        </w:rPr>
        <w:t xml:space="preserve"> los créditos que se espera su recaudo, están sometidos a una expectativa que el Distrito,</w:t>
      </w:r>
      <w:r w:rsidR="009461E1" w:rsidRPr="004A4D88">
        <w:rPr>
          <w:rFonts w:cs="Arial"/>
          <w:bCs/>
          <w:color w:val="000000" w:themeColor="text1"/>
          <w:sz w:val="22"/>
          <w:szCs w:val="22"/>
          <w:lang w:val="es-CO"/>
        </w:rPr>
        <w:t xml:space="preserve"> </w:t>
      </w:r>
      <w:r w:rsidR="004A136C" w:rsidRPr="004A4D88">
        <w:rPr>
          <w:rFonts w:cs="Arial"/>
          <w:bCs/>
          <w:color w:val="000000" w:themeColor="text1"/>
          <w:sz w:val="22"/>
          <w:szCs w:val="22"/>
          <w:lang w:val="es-CO"/>
        </w:rPr>
        <w:t>puridad,</w:t>
      </w:r>
      <w:r w:rsidR="009461E1" w:rsidRPr="004A4D88">
        <w:rPr>
          <w:rFonts w:cs="Arial"/>
          <w:bCs/>
          <w:color w:val="000000" w:themeColor="text1"/>
          <w:sz w:val="22"/>
          <w:szCs w:val="22"/>
          <w:lang w:val="es-CO"/>
        </w:rPr>
        <w:t xml:space="preserve"> </w:t>
      </w:r>
      <w:r w:rsidR="00CE790C" w:rsidRPr="004A4D88">
        <w:rPr>
          <w:rFonts w:cs="Arial"/>
          <w:bCs/>
          <w:color w:val="000000" w:themeColor="text1"/>
          <w:sz w:val="22"/>
          <w:szCs w:val="22"/>
          <w:lang w:val="es-CO"/>
        </w:rPr>
        <w:t>no</w:t>
      </w:r>
      <w:r w:rsidR="004A136C" w:rsidRPr="004A4D88">
        <w:rPr>
          <w:rFonts w:cs="Arial"/>
          <w:bCs/>
          <w:color w:val="000000" w:themeColor="text1"/>
          <w:sz w:val="22"/>
          <w:szCs w:val="22"/>
          <w:lang w:val="es-CO"/>
        </w:rPr>
        <w:t xml:space="preserve"> tiene certeza</w:t>
      </w:r>
      <w:r w:rsidR="00CE790C" w:rsidRPr="004A4D88">
        <w:rPr>
          <w:rFonts w:cs="Arial"/>
          <w:bCs/>
          <w:color w:val="000000" w:themeColor="text1"/>
          <w:sz w:val="22"/>
          <w:szCs w:val="22"/>
          <w:lang w:val="es-CO"/>
        </w:rPr>
        <w:t xml:space="preserve"> de su recaudo, y, con todo, se ajusta al Plan de Desarrollo </w:t>
      </w:r>
      <w:r w:rsidR="00A27483" w:rsidRPr="004A4D88">
        <w:rPr>
          <w:rFonts w:cs="Arial"/>
          <w:bCs/>
          <w:color w:val="000000" w:themeColor="text1"/>
          <w:sz w:val="22"/>
          <w:szCs w:val="22"/>
          <w:lang w:val="es-CO"/>
        </w:rPr>
        <w:t>“Bogotá</w:t>
      </w:r>
      <w:r w:rsidR="00CE790C" w:rsidRPr="004A4D88">
        <w:rPr>
          <w:rFonts w:cs="Arial"/>
          <w:bCs/>
          <w:color w:val="000000" w:themeColor="text1"/>
          <w:sz w:val="22"/>
          <w:szCs w:val="22"/>
          <w:lang w:val="es-CO"/>
        </w:rPr>
        <w:t xml:space="preserve"> Camina Segura” </w:t>
      </w:r>
    </w:p>
    <w:p w:rsidR="00F26B7B" w:rsidRPr="004A4D88" w:rsidRDefault="00CE088A" w:rsidP="004A136C">
      <w:pPr>
        <w:tabs>
          <w:tab w:val="left" w:pos="6326"/>
        </w:tabs>
        <w:spacing w:after="240" w:line="360" w:lineRule="auto"/>
        <w:jc w:val="both"/>
        <w:rPr>
          <w:rFonts w:cs="Arial"/>
          <w:szCs w:val="24"/>
        </w:rPr>
      </w:pPr>
      <w:r w:rsidRPr="004A4D88">
        <w:rPr>
          <w:rFonts w:cs="Arial"/>
          <w:b/>
          <w:szCs w:val="24"/>
          <w:lang w:val="es-CO"/>
        </w:rPr>
        <w:t>8</w:t>
      </w:r>
      <w:r w:rsidR="00F26B7B" w:rsidRPr="004A4D88">
        <w:rPr>
          <w:rFonts w:cs="Arial"/>
          <w:b/>
          <w:szCs w:val="24"/>
          <w:lang w:val="es-CO"/>
        </w:rPr>
        <w:t>. CONCLUSIÓN DE LA PONENCIA.</w:t>
      </w:r>
      <w:r w:rsidR="004A136C" w:rsidRPr="004A4D88">
        <w:rPr>
          <w:rFonts w:cs="Arial"/>
          <w:b/>
          <w:szCs w:val="24"/>
          <w:lang w:val="es-CO"/>
        </w:rPr>
        <w:tab/>
      </w:r>
    </w:p>
    <w:p w:rsidR="00300A2A" w:rsidRPr="004A4D88" w:rsidRDefault="00F26B7B" w:rsidP="00300A2A">
      <w:pPr>
        <w:jc w:val="both"/>
        <w:rPr>
          <w:rFonts w:cs="Arial"/>
          <w:bCs/>
          <w:szCs w:val="24"/>
        </w:rPr>
      </w:pPr>
      <w:r w:rsidRPr="004A4D88">
        <w:rPr>
          <w:rFonts w:cs="Arial"/>
          <w:kern w:val="24"/>
          <w:szCs w:val="24"/>
          <w:lang w:val="es-ES_tradnl" w:eastAsia="es-CO"/>
        </w:rPr>
        <w:t>Con fundamento a las anteriores consideraciones rindo PONENCIA</w:t>
      </w:r>
      <w:r w:rsidRPr="004A4D88">
        <w:rPr>
          <w:rFonts w:cs="Arial"/>
          <w:szCs w:val="24"/>
        </w:rPr>
        <w:t xml:space="preserve"> </w:t>
      </w:r>
      <w:r w:rsidR="00300A2A" w:rsidRPr="004A4D88">
        <w:rPr>
          <w:rFonts w:cs="Arial"/>
          <w:szCs w:val="24"/>
        </w:rPr>
        <w:t xml:space="preserve">POSITIVA </w:t>
      </w:r>
      <w:r w:rsidRPr="004A4D88">
        <w:rPr>
          <w:rFonts w:cs="Arial"/>
          <w:szCs w:val="24"/>
          <w:shd w:val="clear" w:color="auto" w:fill="FFFFFF" w:themeFill="background1"/>
        </w:rPr>
        <w:t>al Proyecto de</w:t>
      </w:r>
      <w:r w:rsidR="00300A2A" w:rsidRPr="004A4D88">
        <w:rPr>
          <w:rFonts w:cs="Arial"/>
          <w:szCs w:val="24"/>
          <w:shd w:val="clear" w:color="auto" w:fill="FFFFFF" w:themeFill="background1"/>
        </w:rPr>
        <w:t xml:space="preserve"> Acuerdo</w:t>
      </w:r>
      <w:r w:rsidRPr="004A4D88">
        <w:rPr>
          <w:rFonts w:cs="Arial"/>
          <w:szCs w:val="24"/>
          <w:shd w:val="clear" w:color="auto" w:fill="FFFFFF" w:themeFill="background1"/>
        </w:rPr>
        <w:t xml:space="preserve"> </w:t>
      </w:r>
      <w:r w:rsidR="00FF59EA">
        <w:rPr>
          <w:rFonts w:cs="Arial"/>
          <w:bCs/>
          <w:szCs w:val="24"/>
        </w:rPr>
        <w:t>416</w:t>
      </w:r>
      <w:r w:rsidR="00300A2A" w:rsidRPr="004A4D88">
        <w:rPr>
          <w:rFonts w:cs="Arial"/>
          <w:bCs/>
          <w:szCs w:val="24"/>
        </w:rPr>
        <w:t xml:space="preserve"> DE  2025</w:t>
      </w:r>
      <w:r w:rsidR="00DF3A52">
        <w:rPr>
          <w:rFonts w:cs="Arial"/>
          <w:bCs/>
          <w:szCs w:val="24"/>
        </w:rPr>
        <w:t xml:space="preserve"> </w:t>
      </w:r>
      <w:r w:rsidR="00300A2A" w:rsidRPr="004A4D88">
        <w:rPr>
          <w:rFonts w:cs="Arial"/>
          <w:bCs/>
          <w:color w:val="auto"/>
          <w:sz w:val="22"/>
          <w:szCs w:val="22"/>
          <w:lang w:val="es-CO"/>
        </w:rPr>
        <w:t>"</w:t>
      </w:r>
      <w:r w:rsidR="00300A2A" w:rsidRPr="004A4D88">
        <w:rPr>
          <w:rFonts w:cs="Arial"/>
          <w:b/>
          <w:bCs/>
          <w:color w:val="auto"/>
          <w:sz w:val="22"/>
          <w:szCs w:val="22"/>
          <w:lang w:val="es-CO"/>
        </w:rPr>
        <w:t>POR EL CUAL SE IMPLEMENTAN LINEAMIENTOS PARA LA DEPURACIÓN DE CARTERA A CARGO DEL INSTITUTO PARA LA ECONOMÍA SOCIAL (IPES) EN BENEFICIO DE VIVANDEROS, VIVANDERAS Y COMERCIANTES DEL SISTEMA DISTRITAL DE PLAZAS DE MERCADO, Y SE DICTAN OTRAS DISPOSICIONES</w:t>
      </w:r>
      <w:r w:rsidR="00300A2A" w:rsidRPr="004A4D88">
        <w:rPr>
          <w:rFonts w:cs="Arial"/>
          <w:bCs/>
          <w:color w:val="auto"/>
          <w:sz w:val="22"/>
          <w:szCs w:val="22"/>
          <w:lang w:val="es-CO"/>
        </w:rPr>
        <w:t>"</w:t>
      </w:r>
      <w:bookmarkStart w:id="1" w:name="_GoBack"/>
      <w:bookmarkEnd w:id="1"/>
    </w:p>
    <w:p w:rsidR="00AA435E" w:rsidRPr="004A4D88" w:rsidRDefault="00AA435E" w:rsidP="00AA435E">
      <w:pPr>
        <w:jc w:val="both"/>
        <w:rPr>
          <w:rFonts w:cs="Arial"/>
          <w:b/>
          <w:bCs/>
          <w:color w:val="auto"/>
          <w:sz w:val="22"/>
          <w:szCs w:val="22"/>
          <w:lang w:val="es-CO"/>
        </w:rPr>
      </w:pPr>
    </w:p>
    <w:p w:rsidR="00F26B7B" w:rsidRPr="004A4D88" w:rsidRDefault="00F26B7B" w:rsidP="00450BB6">
      <w:pPr>
        <w:spacing w:line="360" w:lineRule="auto"/>
        <w:jc w:val="both"/>
        <w:rPr>
          <w:rFonts w:cs="Arial"/>
          <w:b/>
          <w:szCs w:val="24"/>
        </w:rPr>
      </w:pPr>
    </w:p>
    <w:p w:rsidR="00DD3997" w:rsidRPr="004A4D88" w:rsidRDefault="00DD3997" w:rsidP="00E21491">
      <w:pPr>
        <w:suppressAutoHyphens/>
        <w:spacing w:line="360" w:lineRule="auto"/>
        <w:jc w:val="both"/>
        <w:rPr>
          <w:rFonts w:cs="Arial"/>
          <w:szCs w:val="24"/>
        </w:rPr>
      </w:pPr>
    </w:p>
    <w:p w:rsidR="00F26B7B" w:rsidRPr="004A4D88" w:rsidRDefault="00F26B7B" w:rsidP="00E21491">
      <w:pPr>
        <w:suppressAutoHyphens/>
        <w:spacing w:line="360" w:lineRule="auto"/>
        <w:jc w:val="both"/>
        <w:rPr>
          <w:rFonts w:cs="Arial"/>
          <w:szCs w:val="24"/>
        </w:rPr>
      </w:pPr>
      <w:r w:rsidRPr="004A4D88">
        <w:rPr>
          <w:rFonts w:cs="Arial"/>
          <w:szCs w:val="24"/>
        </w:rPr>
        <w:t>Cordialmente,</w:t>
      </w:r>
    </w:p>
    <w:p w:rsidR="00F26B7B" w:rsidRPr="004A4D88" w:rsidRDefault="00F26B7B" w:rsidP="00E21491">
      <w:pPr>
        <w:suppressAutoHyphens/>
        <w:spacing w:line="360" w:lineRule="auto"/>
        <w:jc w:val="both"/>
        <w:rPr>
          <w:rFonts w:cs="Arial"/>
          <w:bCs/>
          <w:szCs w:val="24"/>
          <w:lang w:eastAsia="es-CO"/>
        </w:rPr>
      </w:pPr>
    </w:p>
    <w:p w:rsidR="00F26B7B" w:rsidRPr="004A4D88" w:rsidRDefault="00F26B7B" w:rsidP="00450BB6">
      <w:pPr>
        <w:rPr>
          <w:rFonts w:cs="Arial"/>
          <w:lang w:eastAsia="es-CO"/>
        </w:rPr>
      </w:pPr>
    </w:p>
    <w:p w:rsidR="00300A2A" w:rsidRPr="004A4D88" w:rsidRDefault="00300A2A" w:rsidP="00450BB6">
      <w:pPr>
        <w:rPr>
          <w:rFonts w:cs="Arial"/>
          <w:b/>
        </w:rPr>
      </w:pPr>
    </w:p>
    <w:p w:rsidR="00300A2A" w:rsidRPr="004A4D88" w:rsidRDefault="00300A2A" w:rsidP="00450BB6">
      <w:pPr>
        <w:rPr>
          <w:rFonts w:cs="Arial"/>
          <w:b/>
        </w:rPr>
      </w:pPr>
    </w:p>
    <w:p w:rsidR="00F26B7B" w:rsidRPr="004A4D88" w:rsidRDefault="00F26B7B" w:rsidP="00450BB6">
      <w:pPr>
        <w:rPr>
          <w:rFonts w:cs="Arial"/>
          <w:b/>
          <w:iCs/>
        </w:rPr>
      </w:pPr>
      <w:r w:rsidRPr="004A4D88">
        <w:rPr>
          <w:rFonts w:cs="Arial"/>
          <w:b/>
        </w:rPr>
        <w:t>RICARDO ANDRÉS CORREA MOJICA</w:t>
      </w:r>
    </w:p>
    <w:p w:rsidR="00F26B7B" w:rsidRPr="004A4D88" w:rsidRDefault="00F26B7B" w:rsidP="00450BB6">
      <w:pPr>
        <w:rPr>
          <w:rStyle w:val="nfasis"/>
          <w:rFonts w:cs="Arial"/>
          <w:i w:val="0"/>
          <w:szCs w:val="24"/>
        </w:rPr>
      </w:pPr>
      <w:r w:rsidRPr="004A4D88">
        <w:rPr>
          <w:rFonts w:eastAsiaTheme="majorEastAsia" w:cs="Arial"/>
          <w:lang w:val="es-ES_tradnl"/>
        </w:rPr>
        <w:t>Honorable</w:t>
      </w:r>
      <w:r w:rsidRPr="004A4D88">
        <w:rPr>
          <w:rFonts w:eastAsiaTheme="majorEastAsia" w:cs="Arial"/>
          <w:i/>
          <w:lang w:val="es-ES_tradnl"/>
        </w:rPr>
        <w:t xml:space="preserve"> </w:t>
      </w:r>
      <w:r w:rsidR="00876CC8" w:rsidRPr="004A4D88">
        <w:rPr>
          <w:rStyle w:val="nfasis"/>
          <w:rFonts w:cs="Arial"/>
          <w:i w:val="0"/>
          <w:szCs w:val="24"/>
        </w:rPr>
        <w:t xml:space="preserve">Concejal </w:t>
      </w:r>
      <w:r w:rsidR="00300A2A" w:rsidRPr="004A4D88">
        <w:rPr>
          <w:rStyle w:val="nfasis"/>
          <w:rFonts w:cs="Arial"/>
          <w:i w:val="0"/>
          <w:szCs w:val="24"/>
        </w:rPr>
        <w:t>Coordinador</w:t>
      </w: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300A2A" w:rsidRPr="004A4D88" w:rsidRDefault="00300A2A" w:rsidP="009B652A">
      <w:pPr>
        <w:pStyle w:val="Prrafodelista"/>
        <w:ind w:left="720"/>
        <w:jc w:val="center"/>
        <w:rPr>
          <w:rFonts w:cs="Arial"/>
          <w:b/>
          <w:bCs/>
          <w:color w:val="auto"/>
          <w:sz w:val="22"/>
          <w:szCs w:val="22"/>
          <w:lang w:val="es-CO"/>
        </w:rPr>
      </w:pPr>
    </w:p>
    <w:p w:rsidR="00CE790C" w:rsidRDefault="001F30DE" w:rsidP="001F30DE">
      <w:pPr>
        <w:spacing w:before="100" w:beforeAutospacing="1" w:after="100" w:afterAutospacing="1" w:line="0" w:lineRule="atLeast"/>
        <w:rPr>
          <w:rFonts w:cs="Arial"/>
          <w:b/>
          <w:bCs/>
          <w:color w:val="auto"/>
          <w:sz w:val="22"/>
          <w:szCs w:val="22"/>
          <w:lang w:val="es-CO"/>
        </w:rPr>
      </w:pPr>
      <w:r w:rsidRPr="004A4D88">
        <w:rPr>
          <w:rFonts w:cs="Arial"/>
          <w:b/>
          <w:bCs/>
          <w:color w:val="auto"/>
          <w:sz w:val="22"/>
          <w:szCs w:val="22"/>
          <w:lang w:val="es-CO"/>
        </w:rPr>
        <w:t xml:space="preserve">                                         </w:t>
      </w:r>
    </w:p>
    <w:p w:rsidR="00362C09" w:rsidRPr="004A4D88" w:rsidRDefault="00362C09" w:rsidP="001F30DE">
      <w:pPr>
        <w:spacing w:before="100" w:beforeAutospacing="1" w:after="100" w:afterAutospacing="1" w:line="0" w:lineRule="atLeast"/>
        <w:rPr>
          <w:rFonts w:cs="Arial"/>
          <w:b/>
          <w:bCs/>
          <w:color w:val="auto"/>
          <w:sz w:val="22"/>
          <w:szCs w:val="22"/>
          <w:lang w:val="es-CO"/>
        </w:rPr>
      </w:pPr>
    </w:p>
    <w:p w:rsidR="009B652A" w:rsidRPr="004A4D88" w:rsidRDefault="009B652A" w:rsidP="00812A56">
      <w:pPr>
        <w:ind w:left="2836" w:firstLine="709"/>
        <w:rPr>
          <w:rFonts w:cs="Arial"/>
          <w:b/>
          <w:bCs/>
          <w:color w:val="auto"/>
          <w:sz w:val="22"/>
          <w:szCs w:val="22"/>
          <w:lang w:val="es-CO"/>
        </w:rPr>
      </w:pPr>
      <w:r w:rsidRPr="004A4D88">
        <w:rPr>
          <w:rFonts w:cs="Arial"/>
          <w:b/>
          <w:bCs/>
          <w:color w:val="auto"/>
          <w:sz w:val="22"/>
          <w:szCs w:val="22"/>
          <w:lang w:val="es-CO"/>
        </w:rPr>
        <w:lastRenderedPageBreak/>
        <w:t>ARTICULADO</w:t>
      </w:r>
    </w:p>
    <w:p w:rsidR="009B652A" w:rsidRPr="004A4D88" w:rsidRDefault="009B652A" w:rsidP="009B652A">
      <w:pPr>
        <w:pStyle w:val="Prrafodelista"/>
        <w:ind w:left="720"/>
        <w:jc w:val="both"/>
        <w:rPr>
          <w:rFonts w:cs="Arial"/>
          <w:bCs/>
          <w:color w:val="auto"/>
          <w:sz w:val="22"/>
          <w:szCs w:val="22"/>
          <w:lang w:val="es-CO"/>
        </w:rPr>
      </w:pPr>
    </w:p>
    <w:p w:rsidR="009B652A" w:rsidRPr="004A4D88" w:rsidRDefault="00FF5D9E" w:rsidP="00FF5D9E">
      <w:pPr>
        <w:rPr>
          <w:rFonts w:cs="Arial"/>
          <w:b/>
          <w:bCs/>
          <w:color w:val="auto"/>
          <w:sz w:val="22"/>
          <w:szCs w:val="22"/>
          <w:lang w:val="es-CO"/>
        </w:rPr>
      </w:pPr>
      <w:r w:rsidRPr="004A4D88">
        <w:rPr>
          <w:rFonts w:cs="Arial"/>
          <w:bCs/>
          <w:color w:val="auto"/>
          <w:sz w:val="22"/>
          <w:szCs w:val="22"/>
          <w:lang w:val="es-CO"/>
        </w:rPr>
        <w:t xml:space="preserve">                                        </w:t>
      </w:r>
      <w:r w:rsidR="009B652A" w:rsidRPr="004A4D88">
        <w:rPr>
          <w:rFonts w:cs="Arial"/>
          <w:b/>
          <w:bCs/>
          <w:color w:val="auto"/>
          <w:sz w:val="22"/>
          <w:szCs w:val="22"/>
          <w:lang w:val="es-CO"/>
        </w:rPr>
        <w:t>PROYECTO DE ACUERDO No. ______ DE 2025</w:t>
      </w:r>
    </w:p>
    <w:p w:rsidR="009B652A" w:rsidRPr="004A4D88" w:rsidRDefault="009B652A" w:rsidP="009B652A">
      <w:pPr>
        <w:jc w:val="center"/>
        <w:rPr>
          <w:rFonts w:cs="Arial"/>
          <w:b/>
          <w:bCs/>
          <w:color w:val="auto"/>
          <w:sz w:val="22"/>
          <w:szCs w:val="22"/>
          <w:lang w:val="es-CO"/>
        </w:rPr>
      </w:pPr>
    </w:p>
    <w:p w:rsidR="009B652A" w:rsidRPr="004A4D88" w:rsidRDefault="009B652A" w:rsidP="00FF5D9E">
      <w:pPr>
        <w:jc w:val="both"/>
        <w:rPr>
          <w:rFonts w:cs="Arial"/>
          <w:b/>
          <w:bCs/>
          <w:color w:val="auto"/>
          <w:sz w:val="22"/>
          <w:szCs w:val="22"/>
          <w:lang w:val="es-CO"/>
        </w:rPr>
      </w:pPr>
      <w:r w:rsidRPr="004A4D88">
        <w:rPr>
          <w:rFonts w:cs="Arial"/>
          <w:b/>
          <w:bCs/>
          <w:color w:val="auto"/>
          <w:sz w:val="22"/>
          <w:szCs w:val="22"/>
          <w:lang w:val="es-CO"/>
        </w:rPr>
        <w:t>"POR EL CUAL SE ESTABLECEN LINEAMIENTOS PARA LA DEPURACIÓN DE CARTERA A CARGO DEL INSTITUTO PARA LA ECONOMÍA SOCIAL (IPES) EN BENEFICIO DE VIVANDEROS, VIVANDERAS Y COMERCIANTES DEL SISTEMA DISTRITAL DE PLAZAS DE MERCADO, Y SE DICTAN OTRAS DISPOSICIONES"</w:t>
      </w:r>
    </w:p>
    <w:p w:rsidR="009B652A" w:rsidRPr="004A4D88" w:rsidRDefault="009B652A" w:rsidP="009B652A">
      <w:pPr>
        <w:jc w:val="center"/>
        <w:rPr>
          <w:rFonts w:cs="Arial"/>
          <w:b/>
          <w:bCs/>
          <w:color w:val="auto"/>
          <w:sz w:val="22"/>
          <w:szCs w:val="22"/>
          <w:highlight w:val="green"/>
          <w:lang w:val="es-CO"/>
        </w:rPr>
      </w:pPr>
    </w:p>
    <w:p w:rsidR="009B652A" w:rsidRPr="004A4D88" w:rsidRDefault="009B652A" w:rsidP="009B652A">
      <w:pPr>
        <w:jc w:val="center"/>
        <w:rPr>
          <w:rFonts w:cs="Arial"/>
          <w:bCs/>
          <w:color w:val="auto"/>
          <w:sz w:val="22"/>
          <w:szCs w:val="22"/>
          <w:lang w:val="es-CO"/>
        </w:rPr>
      </w:pPr>
      <w:r w:rsidRPr="004A4D88">
        <w:rPr>
          <w:rFonts w:cs="Arial"/>
          <w:bCs/>
          <w:color w:val="auto"/>
          <w:sz w:val="22"/>
          <w:szCs w:val="22"/>
          <w:lang w:val="es-CO"/>
        </w:rPr>
        <w:t>En uso de sus atribuciones constitucionales y legales, y en especial las conferidas por el Decreto Ley 1421 de 1993, Artículo 12, numerales 1 y 23., en concordancia con los Artículos 13, 19 y 313 de la Constitución Política, Artículo 8 de la Ley Estatutaria 133 de 1994 y el Decreto Reglamentario 354 de 1998;</w:t>
      </w:r>
    </w:p>
    <w:p w:rsidR="009B652A" w:rsidRPr="004A4D88" w:rsidRDefault="009B652A" w:rsidP="009B652A">
      <w:pPr>
        <w:jc w:val="center"/>
        <w:rPr>
          <w:rFonts w:cs="Arial"/>
          <w:bCs/>
          <w:color w:val="auto"/>
          <w:sz w:val="22"/>
          <w:szCs w:val="22"/>
          <w:lang w:val="es-CO"/>
        </w:rPr>
      </w:pPr>
    </w:p>
    <w:p w:rsidR="009B652A" w:rsidRPr="004A4D88" w:rsidRDefault="009B652A" w:rsidP="009B652A">
      <w:pPr>
        <w:jc w:val="center"/>
        <w:rPr>
          <w:rFonts w:cs="Arial"/>
          <w:bCs/>
          <w:color w:val="auto"/>
          <w:sz w:val="22"/>
          <w:szCs w:val="22"/>
          <w:lang w:val="es-CO"/>
        </w:rPr>
      </w:pPr>
      <w:r w:rsidRPr="004A4D88">
        <w:rPr>
          <w:rFonts w:cs="Arial"/>
          <w:bCs/>
          <w:color w:val="auto"/>
          <w:sz w:val="22"/>
          <w:szCs w:val="22"/>
          <w:lang w:val="es-CO"/>
        </w:rPr>
        <w:t>ACUERDA:</w:t>
      </w:r>
    </w:p>
    <w:p w:rsidR="009B652A" w:rsidRPr="004A4D88" w:rsidRDefault="009B652A" w:rsidP="009B652A">
      <w:pPr>
        <w:jc w:val="center"/>
        <w:rPr>
          <w:rFonts w:cs="Arial"/>
          <w:bCs/>
          <w:color w:val="auto"/>
          <w:sz w:val="22"/>
          <w:szCs w:val="22"/>
          <w:lang w:val="es-CO"/>
        </w:rPr>
      </w:pPr>
    </w:p>
    <w:p w:rsidR="009B652A" w:rsidRPr="004A4D88" w:rsidRDefault="009B652A" w:rsidP="009B652A">
      <w:pPr>
        <w:jc w:val="both"/>
        <w:rPr>
          <w:rFonts w:cs="Arial"/>
          <w:bCs/>
          <w:color w:val="auto"/>
          <w:sz w:val="22"/>
          <w:szCs w:val="22"/>
          <w:lang w:val="es-CO"/>
        </w:rPr>
      </w:pPr>
      <w:r w:rsidRPr="004A4D88">
        <w:rPr>
          <w:rFonts w:cs="Arial"/>
          <w:b/>
          <w:bCs/>
          <w:color w:val="auto"/>
          <w:sz w:val="22"/>
          <w:szCs w:val="22"/>
          <w:lang w:val="es-CO"/>
        </w:rPr>
        <w:t>ARTÍCULO 1. OBJETO.</w:t>
      </w:r>
      <w:r w:rsidRPr="004A4D88">
        <w:rPr>
          <w:rFonts w:cs="Arial"/>
          <w:bCs/>
          <w:color w:val="auto"/>
          <w:sz w:val="22"/>
          <w:szCs w:val="22"/>
          <w:lang w:val="es-CO"/>
        </w:rPr>
        <w:t xml:space="preserve"> Establecer los line</w:t>
      </w:r>
      <w:r w:rsidR="00321826" w:rsidRPr="004A4D88">
        <w:rPr>
          <w:rFonts w:cs="Arial"/>
          <w:bCs/>
          <w:color w:val="auto"/>
          <w:sz w:val="22"/>
          <w:szCs w:val="22"/>
          <w:lang w:val="es-CO"/>
        </w:rPr>
        <w:t>amientos para que el Instituto p</w:t>
      </w:r>
      <w:r w:rsidRPr="004A4D88">
        <w:rPr>
          <w:rFonts w:cs="Arial"/>
          <w:bCs/>
          <w:color w:val="auto"/>
          <w:sz w:val="22"/>
          <w:szCs w:val="22"/>
          <w:lang w:val="es-CO"/>
        </w:rPr>
        <w:t xml:space="preserve">ara la Economía Social (IPES) adelante medidas dirigidas a la condonación de todas las obligaciones derivadas por el uso o tenencia de los cupos, locales, bodegas, establecimientos de comercio y, en general, cualquier espacio destinado para la venta de bienes, productos y servicios que se comercialicen en todas las plazas distritales de mercado de la ciudad en favor de los vivanderos y comerciantes. </w:t>
      </w:r>
    </w:p>
    <w:p w:rsidR="009B652A" w:rsidRPr="004A4D88" w:rsidRDefault="009B652A" w:rsidP="009B652A">
      <w:pPr>
        <w:jc w:val="both"/>
        <w:rPr>
          <w:rFonts w:cs="Arial"/>
          <w:bCs/>
          <w:color w:val="auto"/>
          <w:sz w:val="22"/>
          <w:szCs w:val="22"/>
          <w:lang w:val="es-CO"/>
        </w:rPr>
      </w:pPr>
    </w:p>
    <w:p w:rsidR="00321826" w:rsidRPr="004A4D88" w:rsidRDefault="009B652A" w:rsidP="009B652A">
      <w:pPr>
        <w:jc w:val="both"/>
        <w:rPr>
          <w:rFonts w:cs="Arial"/>
          <w:bCs/>
          <w:color w:val="auto"/>
          <w:sz w:val="22"/>
          <w:szCs w:val="22"/>
          <w:lang w:val="es-CO"/>
        </w:rPr>
      </w:pPr>
      <w:r w:rsidRPr="004A4D88">
        <w:rPr>
          <w:rFonts w:cs="Arial"/>
          <w:b/>
          <w:bCs/>
          <w:color w:val="auto"/>
          <w:sz w:val="22"/>
          <w:szCs w:val="22"/>
          <w:lang w:val="es-CO"/>
        </w:rPr>
        <w:t>PARÁGRAFO:</w:t>
      </w:r>
      <w:r w:rsidRPr="004A4D88">
        <w:rPr>
          <w:rFonts w:cs="Arial"/>
          <w:bCs/>
          <w:color w:val="auto"/>
          <w:sz w:val="22"/>
          <w:szCs w:val="22"/>
          <w:lang w:val="es-CO"/>
        </w:rPr>
        <w:t xml:space="preserve"> La Administración Distrital, a través del Instituto para la Economía Social (IPES), desarrollará los</w:t>
      </w:r>
      <w:r w:rsidR="00A27483" w:rsidRPr="004A4D88">
        <w:rPr>
          <w:rFonts w:cs="Arial"/>
          <w:bCs/>
          <w:color w:val="auto"/>
          <w:sz w:val="22"/>
          <w:szCs w:val="22"/>
          <w:lang w:val="es-CO"/>
        </w:rPr>
        <w:t xml:space="preserve"> protocolos</w:t>
      </w:r>
      <w:r w:rsidRPr="004A4D88">
        <w:rPr>
          <w:rFonts w:cs="Arial"/>
          <w:bCs/>
          <w:color w:val="auto"/>
          <w:sz w:val="22"/>
          <w:szCs w:val="22"/>
          <w:lang w:val="es-CO"/>
        </w:rPr>
        <w:t xml:space="preserve"> para el uso y aprovechamiento del espacio público en la</w:t>
      </w:r>
      <w:r w:rsidR="00321826" w:rsidRPr="004A4D88">
        <w:rPr>
          <w:rFonts w:cs="Arial"/>
          <w:bCs/>
          <w:color w:val="auto"/>
          <w:sz w:val="22"/>
          <w:szCs w:val="22"/>
          <w:lang w:val="es-CO"/>
        </w:rPr>
        <w:t>s Plazas Distritales de Mercado</w:t>
      </w:r>
      <w:r w:rsidR="00CE2A1F" w:rsidRPr="004A4D88">
        <w:rPr>
          <w:rFonts w:cs="Arial"/>
          <w:bCs/>
          <w:color w:val="auto"/>
          <w:sz w:val="22"/>
          <w:szCs w:val="22"/>
          <w:lang w:val="es-CO"/>
        </w:rPr>
        <w:t xml:space="preserve">. Dichos criterios deberán incluir una variable social  que contemple de manera prioritaria las necesidades y condiciones socioeconómicas de los comerciantes y vivanderos, promoviendo su inclusión y sostenibilidad económica, conforme a lo establecido en el Decreto 315 de 2024 en su artículo 34.  </w:t>
      </w:r>
    </w:p>
    <w:p w:rsidR="00CE2A1F" w:rsidRPr="004A4D88" w:rsidRDefault="00CE2A1F" w:rsidP="00CE2A1F">
      <w:pPr>
        <w:tabs>
          <w:tab w:val="left" w:pos="5094"/>
        </w:tabs>
        <w:jc w:val="both"/>
        <w:rPr>
          <w:rFonts w:cs="Arial"/>
          <w:bCs/>
          <w:color w:val="auto"/>
          <w:sz w:val="22"/>
          <w:szCs w:val="22"/>
          <w:lang w:val="es-CO"/>
        </w:rPr>
      </w:pPr>
      <w:r w:rsidRPr="004A4D88">
        <w:rPr>
          <w:rFonts w:cs="Arial"/>
          <w:bCs/>
          <w:color w:val="auto"/>
          <w:sz w:val="22"/>
          <w:szCs w:val="22"/>
          <w:lang w:val="es-CO"/>
        </w:rPr>
        <w:tab/>
      </w:r>
    </w:p>
    <w:p w:rsidR="00CE2A1F" w:rsidRPr="004A4D88" w:rsidRDefault="00CE2A1F" w:rsidP="009B652A">
      <w:pPr>
        <w:jc w:val="both"/>
        <w:rPr>
          <w:rFonts w:cs="Arial"/>
          <w:bCs/>
          <w:color w:val="auto"/>
          <w:sz w:val="22"/>
          <w:szCs w:val="22"/>
          <w:lang w:val="es-CO"/>
        </w:rPr>
      </w:pPr>
    </w:p>
    <w:p w:rsidR="009B652A" w:rsidRPr="004A4D88" w:rsidRDefault="009B652A" w:rsidP="009B652A">
      <w:pPr>
        <w:jc w:val="both"/>
        <w:rPr>
          <w:rFonts w:cs="Arial"/>
          <w:bCs/>
          <w:color w:val="auto"/>
          <w:sz w:val="22"/>
          <w:szCs w:val="22"/>
          <w:lang w:val="es-CO"/>
        </w:rPr>
      </w:pPr>
      <w:r w:rsidRPr="004A4D88">
        <w:rPr>
          <w:rFonts w:cs="Arial"/>
          <w:b/>
          <w:bCs/>
          <w:color w:val="auto"/>
          <w:sz w:val="22"/>
          <w:szCs w:val="22"/>
          <w:lang w:val="es-CO"/>
        </w:rPr>
        <w:t>ARTÍCULO 2. LINEAMIENTOS.</w:t>
      </w:r>
      <w:r w:rsidRPr="004A4D88">
        <w:rPr>
          <w:rFonts w:cs="Arial"/>
          <w:bCs/>
          <w:color w:val="auto"/>
          <w:sz w:val="22"/>
          <w:szCs w:val="22"/>
          <w:lang w:val="es-CO"/>
        </w:rPr>
        <w:t xml:space="preserve">  </w:t>
      </w:r>
      <w:r w:rsidRPr="004A4D88">
        <w:rPr>
          <w:rFonts w:cs="Arial"/>
          <w:bCs/>
          <w:color w:val="000000" w:themeColor="text1"/>
          <w:sz w:val="22"/>
          <w:szCs w:val="22"/>
          <w:lang w:val="es-CO"/>
        </w:rPr>
        <w:t>Conforme al Manual de Recaudo y Gestión de Cartera PA04-MN- 002, el IPES</w:t>
      </w:r>
      <w:r w:rsidR="00E74F22" w:rsidRPr="004A4D88">
        <w:rPr>
          <w:rFonts w:cs="Arial"/>
          <w:bCs/>
          <w:color w:val="000000" w:themeColor="text1"/>
          <w:sz w:val="22"/>
          <w:szCs w:val="22"/>
          <w:lang w:val="es-CO"/>
        </w:rPr>
        <w:t xml:space="preserve"> propenderá por implementar los lineamientos destinados a garantizar la depuración</w:t>
      </w:r>
      <w:r w:rsidR="00E74F22" w:rsidRPr="004A4D88">
        <w:rPr>
          <w:rFonts w:cs="Arial"/>
          <w:color w:val="000000" w:themeColor="text1"/>
          <w:sz w:val="22"/>
          <w:szCs w:val="22"/>
          <w:shd w:val="clear" w:color="auto" w:fill="FFFFFF"/>
        </w:rPr>
        <w:t xml:space="preserve"> y saneamiento de</w:t>
      </w:r>
      <w:r w:rsidR="00E74F22" w:rsidRPr="004A4D88">
        <w:rPr>
          <w:rFonts w:cs="Arial"/>
          <w:bCs/>
          <w:color w:val="000000" w:themeColor="text1"/>
          <w:sz w:val="22"/>
          <w:szCs w:val="22"/>
          <w:lang w:val="es-CO"/>
        </w:rPr>
        <w:t xml:space="preserve"> la cartera en la que esté ejerciendo acciones de cobro persuasivo o coactivo </w:t>
      </w:r>
      <w:r w:rsidR="004B69B7" w:rsidRPr="004A4D88">
        <w:rPr>
          <w:rFonts w:cs="Arial"/>
          <w:bCs/>
          <w:color w:val="000000" w:themeColor="text1"/>
          <w:sz w:val="22"/>
          <w:szCs w:val="22"/>
          <w:lang w:val="es-CO"/>
        </w:rPr>
        <w:t>y , en general todos los procesos que estén inmersos dentro de las causales de depuración, todas aquellas acreencias derivadas de títulos ejecutivos o derechos de crédito en favor del Distrito y en contra de los vivanderos y comerciantes de las plazas distritales de mercado.</w:t>
      </w:r>
    </w:p>
    <w:p w:rsidR="00F05433" w:rsidRPr="004A4D88" w:rsidRDefault="00F05433" w:rsidP="009B652A">
      <w:pPr>
        <w:jc w:val="both"/>
        <w:rPr>
          <w:rFonts w:cs="Arial"/>
          <w:b/>
          <w:bCs/>
          <w:color w:val="auto"/>
          <w:sz w:val="22"/>
          <w:szCs w:val="22"/>
          <w:lang w:val="es-CO"/>
        </w:rPr>
      </w:pPr>
    </w:p>
    <w:p w:rsidR="009B652A" w:rsidRPr="004A4D88" w:rsidRDefault="00F05433" w:rsidP="009B652A">
      <w:pPr>
        <w:jc w:val="both"/>
        <w:rPr>
          <w:rFonts w:cs="Arial"/>
          <w:bCs/>
          <w:color w:val="auto"/>
          <w:sz w:val="22"/>
          <w:szCs w:val="22"/>
          <w:lang w:val="es-CO"/>
        </w:rPr>
      </w:pPr>
      <w:r w:rsidRPr="004A4D88">
        <w:rPr>
          <w:rFonts w:cs="Arial"/>
          <w:b/>
          <w:bCs/>
          <w:color w:val="auto"/>
          <w:sz w:val="22"/>
          <w:szCs w:val="22"/>
          <w:lang w:val="es-CO"/>
        </w:rPr>
        <w:t>ARTÍCULO 3. INCENTIVOS.</w:t>
      </w:r>
      <w:r w:rsidRPr="004A4D88">
        <w:rPr>
          <w:rFonts w:cs="Arial"/>
          <w:bCs/>
          <w:color w:val="auto"/>
          <w:sz w:val="22"/>
          <w:szCs w:val="22"/>
          <w:lang w:val="es-CO"/>
        </w:rPr>
        <w:t xml:space="preserve"> </w:t>
      </w:r>
      <w:r w:rsidR="004B69B7" w:rsidRPr="004A4D88">
        <w:rPr>
          <w:rFonts w:cs="Arial"/>
          <w:bCs/>
          <w:color w:val="auto"/>
          <w:sz w:val="22"/>
          <w:szCs w:val="22"/>
          <w:lang w:val="es-CO"/>
        </w:rPr>
        <w:t>El IPES creará un mecanismo de incentivo para que los vivanderos,</w:t>
      </w:r>
      <w:r w:rsidR="00C871C5" w:rsidRPr="004A4D88">
        <w:rPr>
          <w:rFonts w:cs="Arial"/>
          <w:bCs/>
          <w:color w:val="auto"/>
          <w:sz w:val="22"/>
          <w:szCs w:val="22"/>
          <w:lang w:val="es-CO"/>
        </w:rPr>
        <w:t xml:space="preserve"> </w:t>
      </w:r>
      <w:r w:rsidR="004B69B7" w:rsidRPr="004A4D88">
        <w:rPr>
          <w:rFonts w:cs="Arial"/>
          <w:bCs/>
          <w:color w:val="auto"/>
          <w:sz w:val="22"/>
          <w:szCs w:val="22"/>
          <w:lang w:val="es-CO"/>
        </w:rPr>
        <w:t xml:space="preserve">vivanderas y comerciantes que actualmente no tengan relación formal para el uso, aprovechamiento o explotación de sus </w:t>
      </w:r>
      <w:r w:rsidR="00C871C5" w:rsidRPr="004A4D88">
        <w:rPr>
          <w:rFonts w:cs="Arial"/>
          <w:bCs/>
          <w:color w:val="auto"/>
          <w:sz w:val="22"/>
          <w:szCs w:val="22"/>
          <w:lang w:val="es-CO"/>
        </w:rPr>
        <w:t>cupos, locales</w:t>
      </w:r>
      <w:r w:rsidR="004B69B7" w:rsidRPr="004A4D88">
        <w:rPr>
          <w:rFonts w:cs="Arial"/>
          <w:bCs/>
          <w:color w:val="auto"/>
          <w:sz w:val="22"/>
          <w:szCs w:val="22"/>
          <w:lang w:val="es-CO"/>
        </w:rPr>
        <w:t xml:space="preserve"> y bodegas,</w:t>
      </w:r>
      <w:r w:rsidR="00812A56" w:rsidRPr="004A4D88">
        <w:rPr>
          <w:rFonts w:cs="Arial"/>
          <w:bCs/>
          <w:color w:val="auto"/>
          <w:sz w:val="22"/>
          <w:szCs w:val="22"/>
          <w:lang w:val="es-CO"/>
        </w:rPr>
        <w:t xml:space="preserve"> </w:t>
      </w:r>
      <w:r w:rsidR="004B69B7" w:rsidRPr="004A4D88">
        <w:rPr>
          <w:rFonts w:cs="Arial"/>
          <w:bCs/>
          <w:color w:val="auto"/>
          <w:sz w:val="22"/>
          <w:szCs w:val="22"/>
          <w:lang w:val="es-CO"/>
        </w:rPr>
        <w:t xml:space="preserve">deberán suscribirlos contratos de uso administrativo y aprovechamiento económico.  </w:t>
      </w:r>
    </w:p>
    <w:p w:rsidR="00300A2A" w:rsidRPr="004A4D88" w:rsidRDefault="00300A2A" w:rsidP="009B652A">
      <w:pPr>
        <w:jc w:val="both"/>
        <w:rPr>
          <w:rFonts w:cs="Arial"/>
          <w:b/>
          <w:bCs/>
          <w:color w:val="auto"/>
          <w:sz w:val="22"/>
          <w:szCs w:val="22"/>
          <w:lang w:val="es-CO"/>
        </w:rPr>
      </w:pPr>
    </w:p>
    <w:p w:rsidR="00300A2A" w:rsidRPr="004A4D88" w:rsidRDefault="00300A2A" w:rsidP="009B652A">
      <w:pPr>
        <w:jc w:val="both"/>
        <w:rPr>
          <w:rFonts w:cs="Arial"/>
          <w:b/>
          <w:bCs/>
          <w:color w:val="auto"/>
          <w:sz w:val="22"/>
          <w:szCs w:val="22"/>
          <w:lang w:val="es-CO"/>
        </w:rPr>
      </w:pPr>
    </w:p>
    <w:p w:rsidR="009B652A" w:rsidRPr="004A4D88" w:rsidRDefault="009B652A" w:rsidP="009B652A">
      <w:pPr>
        <w:jc w:val="both"/>
        <w:rPr>
          <w:rFonts w:cs="Arial"/>
          <w:bCs/>
          <w:color w:val="auto"/>
          <w:sz w:val="22"/>
          <w:szCs w:val="22"/>
          <w:lang w:val="es-CO"/>
        </w:rPr>
      </w:pPr>
      <w:r w:rsidRPr="004A4D88">
        <w:rPr>
          <w:rFonts w:cs="Arial"/>
          <w:b/>
          <w:bCs/>
          <w:color w:val="auto"/>
          <w:sz w:val="22"/>
          <w:szCs w:val="22"/>
          <w:lang w:val="es-CO"/>
        </w:rPr>
        <w:t>ARTÍCULO 4. VIGENCIA.</w:t>
      </w:r>
      <w:r w:rsidRPr="004A4D88">
        <w:rPr>
          <w:rFonts w:cs="Arial"/>
          <w:bCs/>
          <w:color w:val="auto"/>
          <w:sz w:val="22"/>
          <w:szCs w:val="22"/>
          <w:lang w:val="es-CO"/>
        </w:rPr>
        <w:t xml:space="preserve"> El presente Acuerdo rige a partir de la fecha de su </w:t>
      </w:r>
      <w:r w:rsidR="00A86BB3" w:rsidRPr="004A4D88">
        <w:rPr>
          <w:rFonts w:cs="Arial"/>
          <w:color w:val="000000" w:themeColor="text1"/>
          <w:sz w:val="22"/>
          <w:szCs w:val="22"/>
        </w:rPr>
        <w:t>publicación</w:t>
      </w:r>
      <w:r w:rsidR="004B69B7" w:rsidRPr="004A4D88">
        <w:rPr>
          <w:rFonts w:cs="Arial"/>
          <w:color w:val="000000" w:themeColor="text1"/>
          <w:sz w:val="22"/>
          <w:szCs w:val="22"/>
        </w:rPr>
        <w:t>, otorgando a la Administración un plazo no mayor a doce (12) meses, contados a partir de la expedición del presente Acuerdo, para adelantar la</w:t>
      </w:r>
      <w:r w:rsidR="00C871C5" w:rsidRPr="004A4D88">
        <w:rPr>
          <w:rFonts w:cs="Arial"/>
          <w:color w:val="000000" w:themeColor="text1"/>
          <w:sz w:val="22"/>
          <w:szCs w:val="22"/>
        </w:rPr>
        <w:t>s gestiones necesarias para su ejecución.</w:t>
      </w:r>
      <w:r w:rsidR="004B69B7" w:rsidRPr="004A4D88">
        <w:rPr>
          <w:rFonts w:cs="Arial"/>
          <w:color w:val="000000" w:themeColor="text1"/>
          <w:sz w:val="22"/>
          <w:szCs w:val="22"/>
        </w:rPr>
        <w:t xml:space="preserve">  </w:t>
      </w:r>
      <w:r w:rsidRPr="004A4D88">
        <w:rPr>
          <w:rFonts w:cs="Arial"/>
          <w:bCs/>
          <w:color w:val="auto"/>
          <w:sz w:val="22"/>
          <w:szCs w:val="22"/>
          <w:lang w:val="es-CO"/>
        </w:rPr>
        <w:t xml:space="preserve"> </w:t>
      </w:r>
    </w:p>
    <w:p w:rsidR="009B652A" w:rsidRPr="004A4D88" w:rsidRDefault="009B652A" w:rsidP="009B652A">
      <w:pPr>
        <w:jc w:val="both"/>
        <w:rPr>
          <w:rFonts w:cs="Arial"/>
          <w:bCs/>
          <w:color w:val="auto"/>
          <w:sz w:val="22"/>
          <w:szCs w:val="22"/>
          <w:lang w:val="es-CO"/>
        </w:rPr>
      </w:pPr>
    </w:p>
    <w:p w:rsidR="00812A56" w:rsidRPr="004A4D88" w:rsidRDefault="00FF5D9E" w:rsidP="00FF5D9E">
      <w:pPr>
        <w:tabs>
          <w:tab w:val="left" w:pos="2832"/>
          <w:tab w:val="center" w:pos="4420"/>
        </w:tabs>
        <w:rPr>
          <w:rFonts w:cs="Arial"/>
          <w:bCs/>
          <w:color w:val="auto"/>
          <w:sz w:val="22"/>
          <w:szCs w:val="22"/>
          <w:lang w:val="es-CO"/>
        </w:rPr>
      </w:pPr>
      <w:r w:rsidRPr="004A4D88">
        <w:rPr>
          <w:rFonts w:cs="Arial"/>
          <w:bCs/>
          <w:color w:val="auto"/>
          <w:sz w:val="22"/>
          <w:szCs w:val="22"/>
          <w:lang w:val="es-CO"/>
        </w:rPr>
        <w:tab/>
      </w:r>
    </w:p>
    <w:p w:rsidR="00FF5D9E" w:rsidRPr="004A4D88" w:rsidRDefault="00812A56" w:rsidP="00FF5D9E">
      <w:pPr>
        <w:tabs>
          <w:tab w:val="left" w:pos="2832"/>
          <w:tab w:val="center" w:pos="4420"/>
        </w:tabs>
        <w:rPr>
          <w:rStyle w:val="nfasis"/>
          <w:rFonts w:cs="Arial"/>
          <w:bCs/>
          <w:i w:val="0"/>
          <w:iCs w:val="0"/>
          <w:color w:val="auto"/>
          <w:sz w:val="22"/>
          <w:szCs w:val="22"/>
          <w:lang w:val="es-CO"/>
        </w:rPr>
      </w:pPr>
      <w:r w:rsidRPr="004A4D88">
        <w:rPr>
          <w:rFonts w:cs="Arial"/>
          <w:bCs/>
          <w:color w:val="auto"/>
          <w:sz w:val="22"/>
          <w:szCs w:val="22"/>
          <w:lang w:val="es-CO"/>
        </w:rPr>
        <w:t xml:space="preserve">                                  </w:t>
      </w:r>
      <w:r w:rsidR="00CE088A" w:rsidRPr="004A4D88">
        <w:rPr>
          <w:rFonts w:cs="Arial"/>
          <w:bCs/>
          <w:color w:val="auto"/>
          <w:sz w:val="22"/>
          <w:szCs w:val="22"/>
          <w:lang w:val="es-CO"/>
        </w:rPr>
        <w:t xml:space="preserve">PUBLÍQUESE Y CÚMPLASE   </w:t>
      </w:r>
      <w:r w:rsidR="00FF5D9E" w:rsidRPr="004A4D88">
        <w:rPr>
          <w:rFonts w:cs="Arial"/>
          <w:bCs/>
          <w:color w:val="auto"/>
          <w:sz w:val="22"/>
          <w:szCs w:val="22"/>
          <w:lang w:val="es-CO"/>
        </w:rPr>
        <w:tab/>
        <w:t xml:space="preserve">                                  </w:t>
      </w:r>
    </w:p>
    <w:sectPr w:rsidR="00FF5D9E" w:rsidRPr="004A4D88" w:rsidSect="00851E51">
      <w:headerReference w:type="default" r:id="rId13"/>
      <w:footerReference w:type="even" r:id="rId14"/>
      <w:footerReference w:type="default" r:id="rId15"/>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F79" w:rsidRDefault="00613F79">
      <w:r>
        <w:separator/>
      </w:r>
    </w:p>
  </w:endnote>
  <w:endnote w:type="continuationSeparator" w:id="0">
    <w:p w:rsidR="00613F79" w:rsidRDefault="0061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2A" w:rsidRDefault="00300A2A"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300A2A" w:rsidRDefault="00300A2A"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2A" w:rsidRDefault="00300A2A"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F79" w:rsidRDefault="00613F79">
      <w:r>
        <w:separator/>
      </w:r>
    </w:p>
  </w:footnote>
  <w:footnote w:type="continuationSeparator" w:id="0">
    <w:p w:rsidR="00613F79" w:rsidRDefault="00613F79">
      <w:r>
        <w:continuationSeparator/>
      </w:r>
    </w:p>
  </w:footnote>
  <w:footnote w:id="1">
    <w:p w:rsidR="00300A2A" w:rsidRDefault="00300A2A">
      <w:pPr>
        <w:pStyle w:val="Textonotapie"/>
      </w:pPr>
      <w:r>
        <w:rPr>
          <w:rStyle w:val="Refdenotaalpie"/>
        </w:rPr>
        <w:footnoteRef/>
      </w:r>
      <w:r>
        <w:t xml:space="preserve"> Autor del proyecto 239 del 2025</w:t>
      </w:r>
    </w:p>
  </w:footnote>
  <w:footnote w:id="2">
    <w:p w:rsidR="00300A2A" w:rsidRDefault="00300A2A">
      <w:pPr>
        <w:pStyle w:val="Textonotapie"/>
      </w:pPr>
      <w:r>
        <w:rPr>
          <w:rStyle w:val="Refdenotaalpie"/>
        </w:rPr>
        <w:footnoteRef/>
      </w:r>
      <w:r>
        <w:t xml:space="preserve"> Autores del proyecto </w:t>
      </w:r>
    </w:p>
  </w:footnote>
  <w:footnote w:id="3">
    <w:p w:rsidR="00300A2A" w:rsidRDefault="00300A2A">
      <w:pPr>
        <w:pStyle w:val="Textonotapie"/>
      </w:pPr>
      <w:r>
        <w:rPr>
          <w:rStyle w:val="Refdenotaalpie"/>
        </w:rPr>
        <w:footnoteRef/>
      </w:r>
      <w:r>
        <w:t xml:space="preserve"> Autores del proyecto</w:t>
      </w:r>
    </w:p>
  </w:footnote>
  <w:footnote w:id="4">
    <w:p w:rsidR="00300A2A" w:rsidRDefault="00300A2A">
      <w:pPr>
        <w:pStyle w:val="Textonotapie"/>
      </w:pPr>
      <w:r>
        <w:rPr>
          <w:rStyle w:val="Refdenotaalpie"/>
        </w:rPr>
        <w:footnoteRef/>
      </w:r>
      <w:r>
        <w:t xml:space="preserve"> Ibíd. </w:t>
      </w:r>
    </w:p>
  </w:footnote>
  <w:footnote w:id="5">
    <w:p w:rsidR="00300A2A" w:rsidRDefault="00300A2A">
      <w:pPr>
        <w:pStyle w:val="Textonotapie"/>
      </w:pPr>
      <w:r>
        <w:rPr>
          <w:rStyle w:val="Refdenotaalpie"/>
        </w:rPr>
        <w:footnoteRef/>
      </w:r>
      <w:r>
        <w:t xml:space="preserve"> Ibíd. </w:t>
      </w:r>
    </w:p>
  </w:footnote>
  <w:footnote w:id="6">
    <w:p w:rsidR="00300A2A" w:rsidRDefault="00300A2A">
      <w:pPr>
        <w:pStyle w:val="Textonotapie"/>
      </w:pPr>
      <w:r>
        <w:rPr>
          <w:rStyle w:val="Refdenotaalpie"/>
        </w:rPr>
        <w:footnoteRef/>
      </w:r>
      <w:r>
        <w:t xml:space="preserve"> Ibíd. </w:t>
      </w:r>
    </w:p>
  </w:footnote>
  <w:footnote w:id="7">
    <w:p w:rsidR="00300A2A" w:rsidRDefault="00300A2A">
      <w:pPr>
        <w:pStyle w:val="Textonotapie"/>
      </w:pPr>
      <w:r>
        <w:rPr>
          <w:rStyle w:val="Refdenotaalpie"/>
        </w:rPr>
        <w:footnoteRef/>
      </w:r>
      <w:r>
        <w:t xml:space="preserve"> Autores del proyecto</w:t>
      </w:r>
    </w:p>
  </w:footnote>
  <w:footnote w:id="8">
    <w:p w:rsidR="00300A2A" w:rsidRDefault="00300A2A">
      <w:pPr>
        <w:pStyle w:val="Textonotapie"/>
      </w:pPr>
      <w:r>
        <w:rPr>
          <w:rStyle w:val="Refdenotaalpie"/>
        </w:rPr>
        <w:footnoteRef/>
      </w:r>
      <w:r>
        <w:t xml:space="preserve"> Autores del proyecto</w:t>
      </w:r>
    </w:p>
  </w:footnote>
  <w:footnote w:id="9">
    <w:p w:rsidR="00300A2A" w:rsidRDefault="00300A2A">
      <w:pPr>
        <w:pStyle w:val="Textonotapie"/>
      </w:pPr>
      <w:r>
        <w:rPr>
          <w:rStyle w:val="Refdenotaalpie"/>
        </w:rPr>
        <w:footnoteRef/>
      </w:r>
      <w:r>
        <w:t xml:space="preserve"> Autores del proyecto</w:t>
      </w:r>
    </w:p>
  </w:footnote>
  <w:footnote w:id="10">
    <w:p w:rsidR="00300A2A" w:rsidRDefault="00300A2A">
      <w:pPr>
        <w:pStyle w:val="Textonotapie"/>
      </w:pPr>
      <w:r>
        <w:rPr>
          <w:rStyle w:val="Refdenotaalpie"/>
        </w:rPr>
        <w:footnoteRef/>
      </w:r>
      <w:r>
        <w:t xml:space="preserve"> Autor del proyecto</w:t>
      </w:r>
    </w:p>
  </w:footnote>
  <w:footnote w:id="11">
    <w:p w:rsidR="00300A2A" w:rsidRDefault="00300A2A">
      <w:pPr>
        <w:pStyle w:val="Textonotapie"/>
      </w:pPr>
      <w:r>
        <w:rPr>
          <w:rStyle w:val="Refdenotaalpie"/>
        </w:rPr>
        <w:footnoteRef/>
      </w:r>
      <w:r>
        <w:t xml:space="preserve"> Ibíd. </w:t>
      </w:r>
    </w:p>
  </w:footnote>
  <w:footnote w:id="12">
    <w:p w:rsidR="00300A2A" w:rsidRDefault="00300A2A">
      <w:pPr>
        <w:pStyle w:val="Textonotapie"/>
      </w:pPr>
      <w:r>
        <w:rPr>
          <w:rStyle w:val="Refdenotaalpie"/>
        </w:rPr>
        <w:footnoteRef/>
      </w:r>
      <w:r>
        <w:t xml:space="preserve"> Ibíd. </w:t>
      </w:r>
    </w:p>
  </w:footnote>
  <w:footnote w:id="13">
    <w:p w:rsidR="00300A2A" w:rsidRDefault="00300A2A">
      <w:pPr>
        <w:pStyle w:val="Textonotapie"/>
      </w:pPr>
      <w:r>
        <w:rPr>
          <w:rStyle w:val="Refdenotaalpie"/>
        </w:rPr>
        <w:footnoteRef/>
      </w:r>
      <w:r>
        <w:t xml:space="preserve"> Ibíd. </w:t>
      </w:r>
    </w:p>
  </w:footnote>
  <w:footnote w:id="14">
    <w:p w:rsidR="00300A2A" w:rsidRDefault="00300A2A">
      <w:pPr>
        <w:pStyle w:val="Textonotapie"/>
      </w:pPr>
      <w:r>
        <w:rPr>
          <w:rStyle w:val="Refdenotaalpie"/>
        </w:rPr>
        <w:footnoteRef/>
      </w:r>
      <w:r>
        <w:t xml:space="preserve"> Autor del proyecto</w:t>
      </w:r>
    </w:p>
  </w:footnote>
  <w:footnote w:id="15">
    <w:p w:rsidR="00300A2A" w:rsidRDefault="00300A2A">
      <w:pPr>
        <w:pStyle w:val="Textonotapie"/>
      </w:pPr>
      <w:r>
        <w:rPr>
          <w:rStyle w:val="Refdenotaalpie"/>
        </w:rPr>
        <w:footnoteRef/>
      </w:r>
      <w:r>
        <w:t xml:space="preserve"> Ibíd. </w:t>
      </w:r>
    </w:p>
  </w:footnote>
  <w:footnote w:id="16">
    <w:p w:rsidR="00300A2A" w:rsidRDefault="00300A2A">
      <w:pPr>
        <w:pStyle w:val="Textonotapie"/>
      </w:pPr>
      <w:r>
        <w:rPr>
          <w:rStyle w:val="Refdenotaalpie"/>
        </w:rPr>
        <w:footnoteRef/>
      </w:r>
      <w:r>
        <w:t xml:space="preserve"> Ibíd. </w:t>
      </w:r>
    </w:p>
  </w:footnote>
  <w:footnote w:id="17">
    <w:p w:rsidR="00300A2A" w:rsidRDefault="00300A2A">
      <w:pPr>
        <w:pStyle w:val="Textonotapie"/>
      </w:pPr>
      <w:r>
        <w:rPr>
          <w:rStyle w:val="Refdenotaalpie"/>
        </w:rPr>
        <w:footnoteRef/>
      </w:r>
      <w:r>
        <w:t xml:space="preserve"> Autores del proyecto</w:t>
      </w:r>
    </w:p>
  </w:footnote>
  <w:footnote w:id="18">
    <w:p w:rsidR="00300A2A" w:rsidRDefault="00300A2A">
      <w:pPr>
        <w:pStyle w:val="Textonotapie"/>
      </w:pPr>
      <w:r>
        <w:rPr>
          <w:rStyle w:val="Refdenotaalpie"/>
        </w:rPr>
        <w:footnoteRef/>
      </w:r>
      <w:r>
        <w:t xml:space="preserve"> Ibíd. </w:t>
      </w:r>
    </w:p>
  </w:footnote>
  <w:footnote w:id="19">
    <w:p w:rsidR="00300A2A" w:rsidRDefault="00300A2A">
      <w:pPr>
        <w:pStyle w:val="Textonotapie"/>
      </w:pPr>
      <w:r>
        <w:rPr>
          <w:rStyle w:val="Refdenotaalpie"/>
        </w:rPr>
        <w:footnoteRef/>
      </w:r>
      <w:r>
        <w:t xml:space="preserve"> Ibíd. </w:t>
      </w:r>
    </w:p>
  </w:footnote>
  <w:footnote w:id="20">
    <w:p w:rsidR="00300A2A" w:rsidRDefault="00300A2A">
      <w:pPr>
        <w:pStyle w:val="Textonotapie"/>
      </w:pPr>
      <w:r>
        <w:rPr>
          <w:rStyle w:val="Refdenotaalpie"/>
        </w:rPr>
        <w:footnoteRef/>
      </w:r>
      <w:r>
        <w:t xml:space="preserve"> Ibíd. </w:t>
      </w:r>
    </w:p>
  </w:footnote>
  <w:footnote w:id="21">
    <w:p w:rsidR="00300A2A" w:rsidRDefault="00300A2A">
      <w:pPr>
        <w:pStyle w:val="Textonotapie"/>
      </w:pPr>
      <w:r>
        <w:rPr>
          <w:rStyle w:val="Refdenotaalpie"/>
        </w:rPr>
        <w:footnoteRef/>
      </w:r>
      <w:r>
        <w:t xml:space="preserve"> Autores del proyecto</w:t>
      </w:r>
    </w:p>
  </w:footnote>
  <w:footnote w:id="22">
    <w:p w:rsidR="00300A2A" w:rsidRDefault="00300A2A">
      <w:pPr>
        <w:pStyle w:val="Textonotapie"/>
      </w:pPr>
      <w:r>
        <w:rPr>
          <w:rStyle w:val="Refdenotaalpie"/>
        </w:rPr>
        <w:footnoteRef/>
      </w:r>
      <w:r>
        <w:t xml:space="preserve"> Ibíd. </w:t>
      </w:r>
    </w:p>
  </w:footnote>
  <w:footnote w:id="23">
    <w:p w:rsidR="00300A2A" w:rsidRDefault="00300A2A">
      <w:pPr>
        <w:pStyle w:val="Textonotapie"/>
      </w:pPr>
      <w:r>
        <w:rPr>
          <w:rStyle w:val="Refdenotaalpie"/>
        </w:rPr>
        <w:footnoteRef/>
      </w:r>
      <w:r>
        <w:t xml:space="preserve"> Ibíd.</w:t>
      </w:r>
    </w:p>
  </w:footnote>
  <w:footnote w:id="24">
    <w:p w:rsidR="00300A2A" w:rsidRDefault="00300A2A">
      <w:pPr>
        <w:pStyle w:val="Textonotapie"/>
      </w:pPr>
      <w:r>
        <w:rPr>
          <w:rStyle w:val="Refdenotaalpie"/>
        </w:rPr>
        <w:footnoteRef/>
      </w:r>
      <w:r>
        <w:t xml:space="preserve"> Ibíd.</w:t>
      </w:r>
    </w:p>
  </w:footnote>
  <w:footnote w:id="25">
    <w:p w:rsidR="00300A2A" w:rsidRDefault="00300A2A">
      <w:pPr>
        <w:pStyle w:val="Textonotapie"/>
      </w:pPr>
      <w:r>
        <w:rPr>
          <w:rStyle w:val="Refdenotaalpie"/>
        </w:rPr>
        <w:footnoteRef/>
      </w:r>
      <w:r>
        <w:t xml:space="preserve"> Ibíd.</w:t>
      </w:r>
    </w:p>
  </w:footnote>
  <w:footnote w:id="26">
    <w:p w:rsidR="00300A2A" w:rsidRDefault="00300A2A">
      <w:pPr>
        <w:pStyle w:val="Textonotapie"/>
      </w:pPr>
      <w:r>
        <w:rPr>
          <w:rStyle w:val="Refdenotaalpie"/>
        </w:rPr>
        <w:footnoteRef/>
      </w:r>
      <w:r>
        <w:t xml:space="preserve"> </w:t>
      </w:r>
      <w:proofErr w:type="spellStart"/>
      <w:r>
        <w:t>Ibíd</w:t>
      </w:r>
      <w:proofErr w:type="spellEnd"/>
    </w:p>
  </w:footnote>
  <w:footnote w:id="27">
    <w:p w:rsidR="00300A2A" w:rsidRDefault="00300A2A" w:rsidP="00B76D17">
      <w:pPr>
        <w:pStyle w:val="Textonotapie"/>
      </w:pPr>
      <w:r>
        <w:rPr>
          <w:rStyle w:val="Refdenotaalpie"/>
        </w:rPr>
        <w:footnoteRef/>
      </w:r>
      <w:r>
        <w:t xml:space="preserve"> </w:t>
      </w:r>
      <w:r w:rsidRPr="00D72091">
        <w:t>https://www.elespectador.com/turismo/plazas-de-mercado-los-sitios-turisticos-imperdibles-para-conocer-bogota/</w:t>
      </w:r>
    </w:p>
  </w:footnote>
  <w:footnote w:id="28">
    <w:p w:rsidR="00300A2A" w:rsidRDefault="00300A2A" w:rsidP="0080459C">
      <w:pPr>
        <w:pStyle w:val="Textonotapie"/>
      </w:pPr>
      <w:r>
        <w:rPr>
          <w:rStyle w:val="Refdenotaalpie"/>
        </w:rPr>
        <w:footnoteRef/>
      </w:r>
      <w:r>
        <w:t xml:space="preserve"> Autores del proyecto </w:t>
      </w:r>
    </w:p>
  </w:footnote>
  <w:footnote w:id="29">
    <w:p w:rsidR="00300A2A" w:rsidRDefault="00300A2A" w:rsidP="004F3953">
      <w:pPr>
        <w:pStyle w:val="Textonotapie"/>
      </w:pPr>
      <w:r>
        <w:rPr>
          <w:rStyle w:val="Refdenotaalpie"/>
        </w:rPr>
        <w:footnoteRef/>
      </w:r>
      <w:r>
        <w:t xml:space="preserve"> Autores del proyecto</w:t>
      </w:r>
    </w:p>
  </w:footnote>
  <w:footnote w:id="30">
    <w:p w:rsidR="00300A2A" w:rsidRDefault="00300A2A" w:rsidP="009454FF">
      <w:pPr>
        <w:pStyle w:val="Textonotapie"/>
      </w:pPr>
      <w:r>
        <w:rPr>
          <w:rStyle w:val="Refdenotaalpie"/>
        </w:rPr>
        <w:footnoteRef/>
      </w:r>
      <w:r>
        <w:t xml:space="preserve"> IPES</w:t>
      </w:r>
    </w:p>
  </w:footnote>
  <w:footnote w:id="31">
    <w:p w:rsidR="00300A2A" w:rsidRDefault="00300A2A">
      <w:pPr>
        <w:pStyle w:val="Textonotapie"/>
      </w:pPr>
      <w:r>
        <w:rPr>
          <w:rStyle w:val="Refdenotaalpie"/>
        </w:rPr>
        <w:footnoteRef/>
      </w:r>
      <w:r>
        <w:t xml:space="preserve"> </w:t>
      </w:r>
      <w:r w:rsidRPr="004842DA">
        <w:t>https://sisjur.bogotajuridica.gov.co/sisjur/normas/Norma1.jsp?i=155699</w:t>
      </w:r>
    </w:p>
  </w:footnote>
  <w:footnote w:id="32">
    <w:p w:rsidR="00300A2A" w:rsidRDefault="00300A2A">
      <w:pPr>
        <w:pStyle w:val="Textonotapie"/>
      </w:pPr>
      <w:r>
        <w:rPr>
          <w:rStyle w:val="Refdenotaalpie"/>
        </w:rPr>
        <w:footnoteRef/>
      </w:r>
      <w:r>
        <w:t xml:space="preserve"> </w:t>
      </w:r>
      <w:r w:rsidRPr="00031FA9">
        <w:rPr>
          <w:sz w:val="16"/>
          <w:szCs w:val="16"/>
        </w:rPr>
        <w:t>https://www.eltiempo.com/bogota/plazas-de-mercado-de-bogota-enfrentan-crisis-por-deudas-y-abandono-institucional-3425347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00A2A" w:rsidTr="00851E51">
      <w:trPr>
        <w:trHeight w:val="454"/>
      </w:trPr>
      <w:tc>
        <w:tcPr>
          <w:tcW w:w="1337" w:type="pct"/>
          <w:vMerge w:val="restart"/>
          <w:tcBorders>
            <w:top w:val="single" w:sz="4" w:space="0" w:color="auto"/>
            <w:left w:val="single" w:sz="4" w:space="0" w:color="auto"/>
            <w:right w:val="single" w:sz="4" w:space="0" w:color="auto"/>
          </w:tcBorders>
          <w:vAlign w:val="center"/>
        </w:tcPr>
        <w:p w:rsidR="00300A2A" w:rsidRPr="00920985" w:rsidRDefault="00300A2A"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300A2A" w:rsidRPr="007E0E2F" w:rsidRDefault="00300A2A"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300A2A" w:rsidRPr="00EA3A02" w:rsidRDefault="00300A2A"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V-FO-003</w:t>
          </w:r>
        </w:p>
      </w:tc>
    </w:tr>
    <w:tr w:rsidR="00300A2A" w:rsidTr="00851E51">
      <w:trPr>
        <w:trHeight w:val="454"/>
      </w:trPr>
      <w:tc>
        <w:tcPr>
          <w:tcW w:w="1337" w:type="pct"/>
          <w:vMerge/>
          <w:tcBorders>
            <w:left w:val="single" w:sz="4" w:space="0" w:color="auto"/>
            <w:right w:val="single" w:sz="4" w:space="0" w:color="auto"/>
          </w:tcBorders>
          <w:vAlign w:val="center"/>
        </w:tcPr>
        <w:p w:rsidR="00300A2A" w:rsidRDefault="00300A2A"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300A2A" w:rsidRPr="002D294D" w:rsidRDefault="00300A2A"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300A2A" w:rsidRPr="00EA3A02" w:rsidRDefault="00300A2A" w:rsidP="002D294D">
          <w:pPr>
            <w:rPr>
              <w:rFonts w:cs="Arial"/>
              <w:sz w:val="16"/>
              <w:szCs w:val="16"/>
            </w:rPr>
          </w:pPr>
          <w:r>
            <w:rPr>
              <w:rFonts w:cs="Arial"/>
              <w:sz w:val="16"/>
              <w:szCs w:val="16"/>
            </w:rPr>
            <w:t>VERSIÓN:    01</w:t>
          </w:r>
        </w:p>
      </w:tc>
    </w:tr>
    <w:tr w:rsidR="00300A2A" w:rsidTr="00851E51">
      <w:trPr>
        <w:trHeight w:val="454"/>
      </w:trPr>
      <w:tc>
        <w:tcPr>
          <w:tcW w:w="1337" w:type="pct"/>
          <w:vMerge/>
          <w:tcBorders>
            <w:left w:val="single" w:sz="4" w:space="0" w:color="auto"/>
            <w:bottom w:val="single" w:sz="4" w:space="0" w:color="auto"/>
            <w:right w:val="single" w:sz="4" w:space="0" w:color="auto"/>
          </w:tcBorders>
          <w:vAlign w:val="center"/>
        </w:tcPr>
        <w:p w:rsidR="00300A2A" w:rsidRDefault="00300A2A"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300A2A" w:rsidRDefault="00300A2A"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300A2A" w:rsidRDefault="00300A2A" w:rsidP="006671DC">
          <w:pPr>
            <w:rPr>
              <w:rFonts w:cs="Arial"/>
              <w:sz w:val="16"/>
              <w:szCs w:val="16"/>
            </w:rPr>
          </w:pPr>
          <w:r w:rsidRPr="00EA3A02">
            <w:rPr>
              <w:rFonts w:cs="Arial"/>
              <w:sz w:val="16"/>
              <w:szCs w:val="16"/>
            </w:rPr>
            <w:t>F</w:t>
          </w:r>
          <w:r>
            <w:rPr>
              <w:rFonts w:cs="Arial"/>
              <w:sz w:val="16"/>
              <w:szCs w:val="16"/>
            </w:rPr>
            <w:t>ECHA: 14-Nov-2019</w:t>
          </w:r>
        </w:p>
      </w:tc>
    </w:tr>
  </w:tbl>
  <w:p w:rsidR="00300A2A" w:rsidRPr="002D294D" w:rsidRDefault="00300A2A"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0AB"/>
      </v:shape>
    </w:pict>
  </w:numPicBullet>
  <w:abstractNum w:abstractNumId="0" w15:restartNumberingAfterBreak="0">
    <w:nsid w:val="0A6E40A6"/>
    <w:multiLevelType w:val="hybridMultilevel"/>
    <w:tmpl w:val="22A463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B71DE5"/>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CF2D24"/>
    <w:multiLevelType w:val="multilevel"/>
    <w:tmpl w:val="F62CB7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EBD2D14"/>
    <w:multiLevelType w:val="hybridMultilevel"/>
    <w:tmpl w:val="75EAED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E1060B"/>
    <w:multiLevelType w:val="multilevel"/>
    <w:tmpl w:val="F1585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18070D11"/>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13D61B7"/>
    <w:multiLevelType w:val="hybridMultilevel"/>
    <w:tmpl w:val="EB188DD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2457AE8"/>
    <w:multiLevelType w:val="multilevel"/>
    <w:tmpl w:val="AFDCF74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6AF5038"/>
    <w:multiLevelType w:val="multilevel"/>
    <w:tmpl w:val="ED568656"/>
    <w:lvl w:ilvl="0">
      <w:start w:val="1"/>
      <w:numFmt w:val="decimal"/>
      <w:lvlText w:val="%1."/>
      <w:lvlJc w:val="left"/>
      <w:pPr>
        <w:ind w:left="785"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41C1A"/>
    <w:multiLevelType w:val="hybridMultilevel"/>
    <w:tmpl w:val="BF42F1A2"/>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5" w15:restartNumberingAfterBreak="0">
    <w:nsid w:val="2A3D11C0"/>
    <w:multiLevelType w:val="multilevel"/>
    <w:tmpl w:val="B066C9A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A86389"/>
    <w:multiLevelType w:val="hybridMultilevel"/>
    <w:tmpl w:val="816219E2"/>
    <w:lvl w:ilvl="0" w:tplc="240A000D">
      <w:start w:val="1"/>
      <w:numFmt w:val="bullet"/>
      <w:lvlText w:val=""/>
      <w:lvlJc w:val="left"/>
      <w:pPr>
        <w:ind w:left="782" w:hanging="360"/>
      </w:pPr>
      <w:rPr>
        <w:rFonts w:ascii="Wingdings" w:hAnsi="Wingdings" w:hint="default"/>
      </w:rPr>
    </w:lvl>
    <w:lvl w:ilvl="1" w:tplc="240A0003" w:tentative="1">
      <w:start w:val="1"/>
      <w:numFmt w:val="bullet"/>
      <w:lvlText w:val="o"/>
      <w:lvlJc w:val="left"/>
      <w:pPr>
        <w:ind w:left="1502" w:hanging="360"/>
      </w:pPr>
      <w:rPr>
        <w:rFonts w:ascii="Courier New" w:hAnsi="Courier New" w:cs="Courier New" w:hint="default"/>
      </w:rPr>
    </w:lvl>
    <w:lvl w:ilvl="2" w:tplc="240A0005" w:tentative="1">
      <w:start w:val="1"/>
      <w:numFmt w:val="bullet"/>
      <w:lvlText w:val=""/>
      <w:lvlJc w:val="left"/>
      <w:pPr>
        <w:ind w:left="2222" w:hanging="360"/>
      </w:pPr>
      <w:rPr>
        <w:rFonts w:ascii="Wingdings" w:hAnsi="Wingdings" w:hint="default"/>
      </w:rPr>
    </w:lvl>
    <w:lvl w:ilvl="3" w:tplc="240A0001" w:tentative="1">
      <w:start w:val="1"/>
      <w:numFmt w:val="bullet"/>
      <w:lvlText w:val=""/>
      <w:lvlJc w:val="left"/>
      <w:pPr>
        <w:ind w:left="2942" w:hanging="360"/>
      </w:pPr>
      <w:rPr>
        <w:rFonts w:ascii="Symbol" w:hAnsi="Symbol" w:hint="default"/>
      </w:rPr>
    </w:lvl>
    <w:lvl w:ilvl="4" w:tplc="240A0003" w:tentative="1">
      <w:start w:val="1"/>
      <w:numFmt w:val="bullet"/>
      <w:lvlText w:val="o"/>
      <w:lvlJc w:val="left"/>
      <w:pPr>
        <w:ind w:left="3662" w:hanging="360"/>
      </w:pPr>
      <w:rPr>
        <w:rFonts w:ascii="Courier New" w:hAnsi="Courier New" w:cs="Courier New" w:hint="default"/>
      </w:rPr>
    </w:lvl>
    <w:lvl w:ilvl="5" w:tplc="240A0005" w:tentative="1">
      <w:start w:val="1"/>
      <w:numFmt w:val="bullet"/>
      <w:lvlText w:val=""/>
      <w:lvlJc w:val="left"/>
      <w:pPr>
        <w:ind w:left="4382" w:hanging="360"/>
      </w:pPr>
      <w:rPr>
        <w:rFonts w:ascii="Wingdings" w:hAnsi="Wingdings" w:hint="default"/>
      </w:rPr>
    </w:lvl>
    <w:lvl w:ilvl="6" w:tplc="240A0001" w:tentative="1">
      <w:start w:val="1"/>
      <w:numFmt w:val="bullet"/>
      <w:lvlText w:val=""/>
      <w:lvlJc w:val="left"/>
      <w:pPr>
        <w:ind w:left="5102" w:hanging="360"/>
      </w:pPr>
      <w:rPr>
        <w:rFonts w:ascii="Symbol" w:hAnsi="Symbol" w:hint="default"/>
      </w:rPr>
    </w:lvl>
    <w:lvl w:ilvl="7" w:tplc="240A0003" w:tentative="1">
      <w:start w:val="1"/>
      <w:numFmt w:val="bullet"/>
      <w:lvlText w:val="o"/>
      <w:lvlJc w:val="left"/>
      <w:pPr>
        <w:ind w:left="5822" w:hanging="360"/>
      </w:pPr>
      <w:rPr>
        <w:rFonts w:ascii="Courier New" w:hAnsi="Courier New" w:cs="Courier New" w:hint="default"/>
      </w:rPr>
    </w:lvl>
    <w:lvl w:ilvl="8" w:tplc="240A0005" w:tentative="1">
      <w:start w:val="1"/>
      <w:numFmt w:val="bullet"/>
      <w:lvlText w:val=""/>
      <w:lvlJc w:val="left"/>
      <w:pPr>
        <w:ind w:left="6542" w:hanging="360"/>
      </w:pPr>
      <w:rPr>
        <w:rFonts w:ascii="Wingdings" w:hAnsi="Wingdings" w:hint="default"/>
      </w:rPr>
    </w:lvl>
  </w:abstractNum>
  <w:abstractNum w:abstractNumId="17" w15:restartNumberingAfterBreak="0">
    <w:nsid w:val="47DB709D"/>
    <w:multiLevelType w:val="multilevel"/>
    <w:tmpl w:val="20C6CD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D625C33"/>
    <w:multiLevelType w:val="hybridMultilevel"/>
    <w:tmpl w:val="8FE015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E4445B1"/>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0E10FE9"/>
    <w:multiLevelType w:val="multilevel"/>
    <w:tmpl w:val="2310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BCA28EB"/>
    <w:multiLevelType w:val="multilevel"/>
    <w:tmpl w:val="ED56865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E51219F"/>
    <w:multiLevelType w:val="hybridMultilevel"/>
    <w:tmpl w:val="319ECA18"/>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7" w15:restartNumberingAfterBreak="0">
    <w:nsid w:val="651E6B53"/>
    <w:multiLevelType w:val="hybridMultilevel"/>
    <w:tmpl w:val="281AB16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73703C5"/>
    <w:multiLevelType w:val="multilevel"/>
    <w:tmpl w:val="AF724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EB46B0"/>
    <w:multiLevelType w:val="hybridMultilevel"/>
    <w:tmpl w:val="06EA9198"/>
    <w:lvl w:ilvl="0" w:tplc="089CCD00">
      <w:start w:val="5"/>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BF56F42"/>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21E2D88"/>
    <w:multiLevelType w:val="multilevel"/>
    <w:tmpl w:val="F3546A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C005EC"/>
    <w:multiLevelType w:val="multilevel"/>
    <w:tmpl w:val="C7BC2A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B861AC6"/>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C8552E9"/>
    <w:multiLevelType w:val="multilevel"/>
    <w:tmpl w:val="0142A58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14"/>
  </w:num>
  <w:num w:numId="3">
    <w:abstractNumId w:val="26"/>
  </w:num>
  <w:num w:numId="4">
    <w:abstractNumId w:val="18"/>
  </w:num>
  <w:num w:numId="5">
    <w:abstractNumId w:val="33"/>
  </w:num>
  <w:num w:numId="6">
    <w:abstractNumId w:val="5"/>
  </w:num>
  <w:num w:numId="7">
    <w:abstractNumId w:val="3"/>
  </w:num>
  <w:num w:numId="8">
    <w:abstractNumId w:val="28"/>
  </w:num>
  <w:num w:numId="9">
    <w:abstractNumId w:val="17"/>
  </w:num>
  <w:num w:numId="10">
    <w:abstractNumId w:val="32"/>
  </w:num>
  <w:num w:numId="11">
    <w:abstractNumId w:val="4"/>
  </w:num>
  <w:num w:numId="12">
    <w:abstractNumId w:val="20"/>
  </w:num>
  <w:num w:numId="13">
    <w:abstractNumId w:val="35"/>
  </w:num>
  <w:num w:numId="14">
    <w:abstractNumId w:val="10"/>
  </w:num>
  <w:num w:numId="15">
    <w:abstractNumId w:val="24"/>
  </w:num>
  <w:num w:numId="16">
    <w:abstractNumId w:val="13"/>
  </w:num>
  <w:num w:numId="17">
    <w:abstractNumId w:val="2"/>
  </w:num>
  <w:num w:numId="18">
    <w:abstractNumId w:val="12"/>
  </w:num>
  <w:num w:numId="19">
    <w:abstractNumId w:val="0"/>
  </w:num>
  <w:num w:numId="20">
    <w:abstractNumId w:val="16"/>
  </w:num>
  <w:num w:numId="21">
    <w:abstractNumId w:val="9"/>
  </w:num>
  <w:num w:numId="22">
    <w:abstractNumId w:val="19"/>
  </w:num>
  <w:num w:numId="23">
    <w:abstractNumId w:val="15"/>
  </w:num>
  <w:num w:numId="24">
    <w:abstractNumId w:val="25"/>
  </w:num>
  <w:num w:numId="25">
    <w:abstractNumId w:val="27"/>
  </w:num>
  <w:num w:numId="26">
    <w:abstractNumId w:val="22"/>
  </w:num>
  <w:num w:numId="27">
    <w:abstractNumId w:val="7"/>
  </w:num>
  <w:num w:numId="28">
    <w:abstractNumId w:val="23"/>
  </w:num>
  <w:num w:numId="29">
    <w:abstractNumId w:val="8"/>
  </w:num>
  <w:num w:numId="30">
    <w:abstractNumId w:val="1"/>
  </w:num>
  <w:num w:numId="31">
    <w:abstractNumId w:val="21"/>
  </w:num>
  <w:num w:numId="32">
    <w:abstractNumId w:val="11"/>
  </w:num>
  <w:num w:numId="33">
    <w:abstractNumId w:val="31"/>
  </w:num>
  <w:num w:numId="34">
    <w:abstractNumId w:val="30"/>
  </w:num>
  <w:num w:numId="35">
    <w:abstractNumId w:val="29"/>
  </w:num>
  <w:num w:numId="36">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1EC1"/>
    <w:rsid w:val="00004452"/>
    <w:rsid w:val="00004A50"/>
    <w:rsid w:val="000059B8"/>
    <w:rsid w:val="00006108"/>
    <w:rsid w:val="000076EC"/>
    <w:rsid w:val="00010DD3"/>
    <w:rsid w:val="00011269"/>
    <w:rsid w:val="00011801"/>
    <w:rsid w:val="00011BCE"/>
    <w:rsid w:val="00012611"/>
    <w:rsid w:val="000154B2"/>
    <w:rsid w:val="000159EA"/>
    <w:rsid w:val="000161A5"/>
    <w:rsid w:val="00016F67"/>
    <w:rsid w:val="0002047E"/>
    <w:rsid w:val="00021C2A"/>
    <w:rsid w:val="00021CBC"/>
    <w:rsid w:val="000224AF"/>
    <w:rsid w:val="00025190"/>
    <w:rsid w:val="0002796F"/>
    <w:rsid w:val="00031ABB"/>
    <w:rsid w:val="00031FA9"/>
    <w:rsid w:val="000325D4"/>
    <w:rsid w:val="00035F85"/>
    <w:rsid w:val="0003606D"/>
    <w:rsid w:val="0003786D"/>
    <w:rsid w:val="00040A87"/>
    <w:rsid w:val="0004268D"/>
    <w:rsid w:val="00043966"/>
    <w:rsid w:val="000468B2"/>
    <w:rsid w:val="00047D27"/>
    <w:rsid w:val="00050074"/>
    <w:rsid w:val="000512AC"/>
    <w:rsid w:val="000538FC"/>
    <w:rsid w:val="00054A48"/>
    <w:rsid w:val="00054C28"/>
    <w:rsid w:val="0005538D"/>
    <w:rsid w:val="00056059"/>
    <w:rsid w:val="00056D34"/>
    <w:rsid w:val="000606F2"/>
    <w:rsid w:val="00060C03"/>
    <w:rsid w:val="0006306C"/>
    <w:rsid w:val="00063A38"/>
    <w:rsid w:val="00065939"/>
    <w:rsid w:val="00066468"/>
    <w:rsid w:val="00066B89"/>
    <w:rsid w:val="000671C0"/>
    <w:rsid w:val="00070665"/>
    <w:rsid w:val="000721C1"/>
    <w:rsid w:val="0007345E"/>
    <w:rsid w:val="000760FF"/>
    <w:rsid w:val="000769A4"/>
    <w:rsid w:val="000815BB"/>
    <w:rsid w:val="00083C02"/>
    <w:rsid w:val="0008405D"/>
    <w:rsid w:val="000844A8"/>
    <w:rsid w:val="00085396"/>
    <w:rsid w:val="0008684A"/>
    <w:rsid w:val="00087088"/>
    <w:rsid w:val="00091EB1"/>
    <w:rsid w:val="000925A1"/>
    <w:rsid w:val="00095B51"/>
    <w:rsid w:val="000963F9"/>
    <w:rsid w:val="00096B0F"/>
    <w:rsid w:val="00096C70"/>
    <w:rsid w:val="000972D1"/>
    <w:rsid w:val="000977E7"/>
    <w:rsid w:val="00097DB5"/>
    <w:rsid w:val="000A0030"/>
    <w:rsid w:val="000A14D7"/>
    <w:rsid w:val="000A6C08"/>
    <w:rsid w:val="000B0620"/>
    <w:rsid w:val="000B17E1"/>
    <w:rsid w:val="000B4CBD"/>
    <w:rsid w:val="000B4E23"/>
    <w:rsid w:val="000B4E77"/>
    <w:rsid w:val="000B7C3B"/>
    <w:rsid w:val="000C029A"/>
    <w:rsid w:val="000C05B0"/>
    <w:rsid w:val="000C3064"/>
    <w:rsid w:val="000C3623"/>
    <w:rsid w:val="000C482C"/>
    <w:rsid w:val="000C6F17"/>
    <w:rsid w:val="000C773B"/>
    <w:rsid w:val="000D1C54"/>
    <w:rsid w:val="000D25DB"/>
    <w:rsid w:val="000D2BCE"/>
    <w:rsid w:val="000D50FE"/>
    <w:rsid w:val="000D71B4"/>
    <w:rsid w:val="000E1909"/>
    <w:rsid w:val="000E3624"/>
    <w:rsid w:val="000E3C29"/>
    <w:rsid w:val="000E418B"/>
    <w:rsid w:val="000E4369"/>
    <w:rsid w:val="000E5C3C"/>
    <w:rsid w:val="000E6583"/>
    <w:rsid w:val="000E6B86"/>
    <w:rsid w:val="000F00B1"/>
    <w:rsid w:val="000F1586"/>
    <w:rsid w:val="000F552A"/>
    <w:rsid w:val="000F7881"/>
    <w:rsid w:val="00100E1D"/>
    <w:rsid w:val="00101EBD"/>
    <w:rsid w:val="001031C4"/>
    <w:rsid w:val="00103744"/>
    <w:rsid w:val="0010473C"/>
    <w:rsid w:val="00104872"/>
    <w:rsid w:val="00104FEE"/>
    <w:rsid w:val="0010508F"/>
    <w:rsid w:val="00105763"/>
    <w:rsid w:val="00105A20"/>
    <w:rsid w:val="001064EA"/>
    <w:rsid w:val="001067DF"/>
    <w:rsid w:val="00106D51"/>
    <w:rsid w:val="00113467"/>
    <w:rsid w:val="001136A6"/>
    <w:rsid w:val="001144A9"/>
    <w:rsid w:val="00114662"/>
    <w:rsid w:val="00115610"/>
    <w:rsid w:val="00120391"/>
    <w:rsid w:val="0012109F"/>
    <w:rsid w:val="00121B69"/>
    <w:rsid w:val="00121CCB"/>
    <w:rsid w:val="00121F38"/>
    <w:rsid w:val="00123402"/>
    <w:rsid w:val="00125FA9"/>
    <w:rsid w:val="00127502"/>
    <w:rsid w:val="001277C9"/>
    <w:rsid w:val="001316B7"/>
    <w:rsid w:val="00132BB4"/>
    <w:rsid w:val="00133168"/>
    <w:rsid w:val="00133CA7"/>
    <w:rsid w:val="00134E79"/>
    <w:rsid w:val="001353FF"/>
    <w:rsid w:val="00135704"/>
    <w:rsid w:val="001363EA"/>
    <w:rsid w:val="0013755A"/>
    <w:rsid w:val="001377B6"/>
    <w:rsid w:val="001377C3"/>
    <w:rsid w:val="00140AEF"/>
    <w:rsid w:val="001411E5"/>
    <w:rsid w:val="00142D42"/>
    <w:rsid w:val="001469EB"/>
    <w:rsid w:val="00153A77"/>
    <w:rsid w:val="001554BE"/>
    <w:rsid w:val="0015630E"/>
    <w:rsid w:val="00161BE3"/>
    <w:rsid w:val="00162B0D"/>
    <w:rsid w:val="001664AE"/>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5EFF"/>
    <w:rsid w:val="00197A0A"/>
    <w:rsid w:val="001A0BC5"/>
    <w:rsid w:val="001A0EA1"/>
    <w:rsid w:val="001A292B"/>
    <w:rsid w:val="001A5510"/>
    <w:rsid w:val="001A5ED6"/>
    <w:rsid w:val="001A6228"/>
    <w:rsid w:val="001A6633"/>
    <w:rsid w:val="001B047D"/>
    <w:rsid w:val="001B07CF"/>
    <w:rsid w:val="001B11EA"/>
    <w:rsid w:val="001B29AE"/>
    <w:rsid w:val="001B3573"/>
    <w:rsid w:val="001B4377"/>
    <w:rsid w:val="001C33C1"/>
    <w:rsid w:val="001C373F"/>
    <w:rsid w:val="001C51EF"/>
    <w:rsid w:val="001C6022"/>
    <w:rsid w:val="001C7725"/>
    <w:rsid w:val="001C798A"/>
    <w:rsid w:val="001D0D50"/>
    <w:rsid w:val="001D1FD3"/>
    <w:rsid w:val="001D4919"/>
    <w:rsid w:val="001D78E7"/>
    <w:rsid w:val="001E0250"/>
    <w:rsid w:val="001E214B"/>
    <w:rsid w:val="001E2F61"/>
    <w:rsid w:val="001E40EC"/>
    <w:rsid w:val="001E5883"/>
    <w:rsid w:val="001F30DE"/>
    <w:rsid w:val="001F3794"/>
    <w:rsid w:val="001F39F0"/>
    <w:rsid w:val="001F4EBB"/>
    <w:rsid w:val="001F6FE2"/>
    <w:rsid w:val="001F72F6"/>
    <w:rsid w:val="001F73CA"/>
    <w:rsid w:val="001F7DBF"/>
    <w:rsid w:val="00201CD0"/>
    <w:rsid w:val="00202AF8"/>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4D3A"/>
    <w:rsid w:val="002271E4"/>
    <w:rsid w:val="00230528"/>
    <w:rsid w:val="002308FE"/>
    <w:rsid w:val="00232150"/>
    <w:rsid w:val="002334EF"/>
    <w:rsid w:val="00240C73"/>
    <w:rsid w:val="0024488E"/>
    <w:rsid w:val="00246E98"/>
    <w:rsid w:val="00247021"/>
    <w:rsid w:val="00253D21"/>
    <w:rsid w:val="00256A9C"/>
    <w:rsid w:val="00261D8F"/>
    <w:rsid w:val="002623F4"/>
    <w:rsid w:val="00264DDA"/>
    <w:rsid w:val="00265386"/>
    <w:rsid w:val="00265B32"/>
    <w:rsid w:val="00266720"/>
    <w:rsid w:val="002668E4"/>
    <w:rsid w:val="0027501C"/>
    <w:rsid w:val="00275E6F"/>
    <w:rsid w:val="002760AB"/>
    <w:rsid w:val="0027684C"/>
    <w:rsid w:val="002809AC"/>
    <w:rsid w:val="00282E5F"/>
    <w:rsid w:val="002846D9"/>
    <w:rsid w:val="00290EF7"/>
    <w:rsid w:val="00292246"/>
    <w:rsid w:val="0029282C"/>
    <w:rsid w:val="00295F8B"/>
    <w:rsid w:val="00297F9D"/>
    <w:rsid w:val="002A2530"/>
    <w:rsid w:val="002A5005"/>
    <w:rsid w:val="002A6B6E"/>
    <w:rsid w:val="002B17A5"/>
    <w:rsid w:val="002B7B6E"/>
    <w:rsid w:val="002C3EA4"/>
    <w:rsid w:val="002C632D"/>
    <w:rsid w:val="002C676F"/>
    <w:rsid w:val="002C6B1B"/>
    <w:rsid w:val="002D1A2D"/>
    <w:rsid w:val="002D294D"/>
    <w:rsid w:val="002D49D8"/>
    <w:rsid w:val="002D543B"/>
    <w:rsid w:val="002D6CC9"/>
    <w:rsid w:val="002D6D8F"/>
    <w:rsid w:val="002D7C2C"/>
    <w:rsid w:val="002E1BCA"/>
    <w:rsid w:val="002E51A9"/>
    <w:rsid w:val="002E51F2"/>
    <w:rsid w:val="002E55FA"/>
    <w:rsid w:val="002E57B9"/>
    <w:rsid w:val="002E5A6D"/>
    <w:rsid w:val="002E6969"/>
    <w:rsid w:val="002F03EC"/>
    <w:rsid w:val="002F1EBF"/>
    <w:rsid w:val="002F23F8"/>
    <w:rsid w:val="002F518B"/>
    <w:rsid w:val="002F5762"/>
    <w:rsid w:val="002F5C55"/>
    <w:rsid w:val="002F6A4B"/>
    <w:rsid w:val="002F6D52"/>
    <w:rsid w:val="002F797D"/>
    <w:rsid w:val="003008A0"/>
    <w:rsid w:val="00300A2A"/>
    <w:rsid w:val="00300C97"/>
    <w:rsid w:val="003028C6"/>
    <w:rsid w:val="00304277"/>
    <w:rsid w:val="0031164A"/>
    <w:rsid w:val="003134A6"/>
    <w:rsid w:val="00313CF1"/>
    <w:rsid w:val="003202DF"/>
    <w:rsid w:val="003204EA"/>
    <w:rsid w:val="00321670"/>
    <w:rsid w:val="00321826"/>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C09"/>
    <w:rsid w:val="00362F45"/>
    <w:rsid w:val="00364183"/>
    <w:rsid w:val="003649F4"/>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113F"/>
    <w:rsid w:val="003A1333"/>
    <w:rsid w:val="003A1998"/>
    <w:rsid w:val="003A2596"/>
    <w:rsid w:val="003A2873"/>
    <w:rsid w:val="003A43AD"/>
    <w:rsid w:val="003A473B"/>
    <w:rsid w:val="003A74CE"/>
    <w:rsid w:val="003B00D3"/>
    <w:rsid w:val="003B0CCC"/>
    <w:rsid w:val="003B1825"/>
    <w:rsid w:val="003B2AF9"/>
    <w:rsid w:val="003B376D"/>
    <w:rsid w:val="003B4B01"/>
    <w:rsid w:val="003B5012"/>
    <w:rsid w:val="003B527A"/>
    <w:rsid w:val="003B73E6"/>
    <w:rsid w:val="003B7BF3"/>
    <w:rsid w:val="003C0158"/>
    <w:rsid w:val="003C1FB4"/>
    <w:rsid w:val="003C33FF"/>
    <w:rsid w:val="003C429B"/>
    <w:rsid w:val="003C50FB"/>
    <w:rsid w:val="003C6984"/>
    <w:rsid w:val="003D0D48"/>
    <w:rsid w:val="003D1C56"/>
    <w:rsid w:val="003D4C5F"/>
    <w:rsid w:val="003D5BA1"/>
    <w:rsid w:val="003D66A1"/>
    <w:rsid w:val="003E0716"/>
    <w:rsid w:val="003E1D62"/>
    <w:rsid w:val="003E2652"/>
    <w:rsid w:val="003E2759"/>
    <w:rsid w:val="003E7536"/>
    <w:rsid w:val="003F13BA"/>
    <w:rsid w:val="003F2114"/>
    <w:rsid w:val="003F5CEE"/>
    <w:rsid w:val="003F6AB6"/>
    <w:rsid w:val="003F701C"/>
    <w:rsid w:val="00402824"/>
    <w:rsid w:val="00403191"/>
    <w:rsid w:val="00403C44"/>
    <w:rsid w:val="0040458F"/>
    <w:rsid w:val="00404A86"/>
    <w:rsid w:val="00404CBC"/>
    <w:rsid w:val="00405BB2"/>
    <w:rsid w:val="00405D94"/>
    <w:rsid w:val="00405EB3"/>
    <w:rsid w:val="00411933"/>
    <w:rsid w:val="0041200F"/>
    <w:rsid w:val="0041576C"/>
    <w:rsid w:val="00417170"/>
    <w:rsid w:val="00417970"/>
    <w:rsid w:val="00417EDE"/>
    <w:rsid w:val="004200CE"/>
    <w:rsid w:val="00420498"/>
    <w:rsid w:val="004213EE"/>
    <w:rsid w:val="004242F1"/>
    <w:rsid w:val="004252ED"/>
    <w:rsid w:val="00425596"/>
    <w:rsid w:val="00426D83"/>
    <w:rsid w:val="004275DB"/>
    <w:rsid w:val="00427A4D"/>
    <w:rsid w:val="00427A67"/>
    <w:rsid w:val="00430819"/>
    <w:rsid w:val="00434132"/>
    <w:rsid w:val="004343F3"/>
    <w:rsid w:val="00435257"/>
    <w:rsid w:val="00437D6B"/>
    <w:rsid w:val="004407EF"/>
    <w:rsid w:val="0044542C"/>
    <w:rsid w:val="00447BC5"/>
    <w:rsid w:val="0045067D"/>
    <w:rsid w:val="00450808"/>
    <w:rsid w:val="00450B72"/>
    <w:rsid w:val="00450BB6"/>
    <w:rsid w:val="004514C5"/>
    <w:rsid w:val="00452A51"/>
    <w:rsid w:val="00453793"/>
    <w:rsid w:val="004544DF"/>
    <w:rsid w:val="00455548"/>
    <w:rsid w:val="00456DDA"/>
    <w:rsid w:val="00461C38"/>
    <w:rsid w:val="00462D27"/>
    <w:rsid w:val="004702E9"/>
    <w:rsid w:val="004710E6"/>
    <w:rsid w:val="00471879"/>
    <w:rsid w:val="0047251E"/>
    <w:rsid w:val="00472886"/>
    <w:rsid w:val="0047310A"/>
    <w:rsid w:val="0047391F"/>
    <w:rsid w:val="004741C3"/>
    <w:rsid w:val="00474641"/>
    <w:rsid w:val="00476B89"/>
    <w:rsid w:val="00476DAB"/>
    <w:rsid w:val="00481AD0"/>
    <w:rsid w:val="004842DA"/>
    <w:rsid w:val="0048745C"/>
    <w:rsid w:val="0048771E"/>
    <w:rsid w:val="004918F0"/>
    <w:rsid w:val="00493933"/>
    <w:rsid w:val="004950D4"/>
    <w:rsid w:val="0049598F"/>
    <w:rsid w:val="004A1073"/>
    <w:rsid w:val="004A136C"/>
    <w:rsid w:val="004A1730"/>
    <w:rsid w:val="004A3447"/>
    <w:rsid w:val="004A345E"/>
    <w:rsid w:val="004A4D88"/>
    <w:rsid w:val="004B0A55"/>
    <w:rsid w:val="004B1187"/>
    <w:rsid w:val="004B1587"/>
    <w:rsid w:val="004B1D07"/>
    <w:rsid w:val="004B2715"/>
    <w:rsid w:val="004B42A6"/>
    <w:rsid w:val="004B461E"/>
    <w:rsid w:val="004B69B7"/>
    <w:rsid w:val="004C16D8"/>
    <w:rsid w:val="004C1893"/>
    <w:rsid w:val="004C19F0"/>
    <w:rsid w:val="004C666C"/>
    <w:rsid w:val="004D0E07"/>
    <w:rsid w:val="004D3099"/>
    <w:rsid w:val="004D4AE7"/>
    <w:rsid w:val="004D71BC"/>
    <w:rsid w:val="004E1FDE"/>
    <w:rsid w:val="004E208E"/>
    <w:rsid w:val="004E43F6"/>
    <w:rsid w:val="004E4B7C"/>
    <w:rsid w:val="004F12E0"/>
    <w:rsid w:val="004F26E7"/>
    <w:rsid w:val="004F3953"/>
    <w:rsid w:val="004F3EB3"/>
    <w:rsid w:val="004F55D2"/>
    <w:rsid w:val="004F62F4"/>
    <w:rsid w:val="004F64D8"/>
    <w:rsid w:val="00501C06"/>
    <w:rsid w:val="00502422"/>
    <w:rsid w:val="00502995"/>
    <w:rsid w:val="00503A21"/>
    <w:rsid w:val="00504C41"/>
    <w:rsid w:val="005059D9"/>
    <w:rsid w:val="00506FBD"/>
    <w:rsid w:val="0051018D"/>
    <w:rsid w:val="00511221"/>
    <w:rsid w:val="00511933"/>
    <w:rsid w:val="00512C99"/>
    <w:rsid w:val="005144B4"/>
    <w:rsid w:val="005153AC"/>
    <w:rsid w:val="005179E2"/>
    <w:rsid w:val="00520D44"/>
    <w:rsid w:val="00520D4B"/>
    <w:rsid w:val="00523946"/>
    <w:rsid w:val="00524B27"/>
    <w:rsid w:val="00525EB0"/>
    <w:rsid w:val="00531496"/>
    <w:rsid w:val="005319B0"/>
    <w:rsid w:val="00532554"/>
    <w:rsid w:val="00532CE4"/>
    <w:rsid w:val="00532F01"/>
    <w:rsid w:val="00534012"/>
    <w:rsid w:val="00540370"/>
    <w:rsid w:val="005411EE"/>
    <w:rsid w:val="005416BC"/>
    <w:rsid w:val="00542B72"/>
    <w:rsid w:val="00542F88"/>
    <w:rsid w:val="00543BF4"/>
    <w:rsid w:val="00546935"/>
    <w:rsid w:val="00551561"/>
    <w:rsid w:val="00552857"/>
    <w:rsid w:val="00553FF1"/>
    <w:rsid w:val="00555ECA"/>
    <w:rsid w:val="005562F4"/>
    <w:rsid w:val="00557140"/>
    <w:rsid w:val="005575C7"/>
    <w:rsid w:val="005611E8"/>
    <w:rsid w:val="00567511"/>
    <w:rsid w:val="00567E76"/>
    <w:rsid w:val="00571A5A"/>
    <w:rsid w:val="00572B3B"/>
    <w:rsid w:val="00572FE0"/>
    <w:rsid w:val="005748E9"/>
    <w:rsid w:val="00583340"/>
    <w:rsid w:val="00584961"/>
    <w:rsid w:val="00584BE8"/>
    <w:rsid w:val="00584BF9"/>
    <w:rsid w:val="00585992"/>
    <w:rsid w:val="00591D84"/>
    <w:rsid w:val="00592BFA"/>
    <w:rsid w:val="005933EC"/>
    <w:rsid w:val="00594DD9"/>
    <w:rsid w:val="0059518E"/>
    <w:rsid w:val="00595311"/>
    <w:rsid w:val="005965E8"/>
    <w:rsid w:val="005A0680"/>
    <w:rsid w:val="005A0937"/>
    <w:rsid w:val="005A3024"/>
    <w:rsid w:val="005A437B"/>
    <w:rsid w:val="005A578B"/>
    <w:rsid w:val="005B0A08"/>
    <w:rsid w:val="005B143F"/>
    <w:rsid w:val="005B1CB3"/>
    <w:rsid w:val="005B273F"/>
    <w:rsid w:val="005B4E99"/>
    <w:rsid w:val="005B54D2"/>
    <w:rsid w:val="005B6E32"/>
    <w:rsid w:val="005B78A2"/>
    <w:rsid w:val="005C212A"/>
    <w:rsid w:val="005C3311"/>
    <w:rsid w:val="005C33F4"/>
    <w:rsid w:val="005D1C57"/>
    <w:rsid w:val="005D4248"/>
    <w:rsid w:val="005E0653"/>
    <w:rsid w:val="005E0D7D"/>
    <w:rsid w:val="005E0FD4"/>
    <w:rsid w:val="005E3F28"/>
    <w:rsid w:val="005E4F30"/>
    <w:rsid w:val="005E5AC3"/>
    <w:rsid w:val="005F1FF0"/>
    <w:rsid w:val="005F2093"/>
    <w:rsid w:val="005F487D"/>
    <w:rsid w:val="005F50CE"/>
    <w:rsid w:val="0060483C"/>
    <w:rsid w:val="00604F54"/>
    <w:rsid w:val="00610CCE"/>
    <w:rsid w:val="0061336D"/>
    <w:rsid w:val="00613F79"/>
    <w:rsid w:val="006143E2"/>
    <w:rsid w:val="00615F57"/>
    <w:rsid w:val="0061625B"/>
    <w:rsid w:val="006174A0"/>
    <w:rsid w:val="00620339"/>
    <w:rsid w:val="00621072"/>
    <w:rsid w:val="0062138C"/>
    <w:rsid w:val="00621D8E"/>
    <w:rsid w:val="0062393F"/>
    <w:rsid w:val="00625F9C"/>
    <w:rsid w:val="00626FF0"/>
    <w:rsid w:val="006274E7"/>
    <w:rsid w:val="00627632"/>
    <w:rsid w:val="00627BF5"/>
    <w:rsid w:val="00631165"/>
    <w:rsid w:val="00631A8C"/>
    <w:rsid w:val="00633540"/>
    <w:rsid w:val="00635E45"/>
    <w:rsid w:val="00636068"/>
    <w:rsid w:val="00636603"/>
    <w:rsid w:val="00640728"/>
    <w:rsid w:val="00644457"/>
    <w:rsid w:val="006453D0"/>
    <w:rsid w:val="006455D4"/>
    <w:rsid w:val="00645868"/>
    <w:rsid w:val="00646B36"/>
    <w:rsid w:val="00650775"/>
    <w:rsid w:val="00653A24"/>
    <w:rsid w:val="0066006E"/>
    <w:rsid w:val="00660ACF"/>
    <w:rsid w:val="00661248"/>
    <w:rsid w:val="00661A41"/>
    <w:rsid w:val="00662E3D"/>
    <w:rsid w:val="006635AC"/>
    <w:rsid w:val="0066403E"/>
    <w:rsid w:val="006671DC"/>
    <w:rsid w:val="0066735F"/>
    <w:rsid w:val="006675EE"/>
    <w:rsid w:val="00667CD9"/>
    <w:rsid w:val="0067110A"/>
    <w:rsid w:val="006713B4"/>
    <w:rsid w:val="00671FD9"/>
    <w:rsid w:val="00673A95"/>
    <w:rsid w:val="00673BBA"/>
    <w:rsid w:val="0068354D"/>
    <w:rsid w:val="0068732F"/>
    <w:rsid w:val="00691851"/>
    <w:rsid w:val="00692C71"/>
    <w:rsid w:val="0069361C"/>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4442"/>
    <w:rsid w:val="006D5269"/>
    <w:rsid w:val="006E0CF7"/>
    <w:rsid w:val="006E165C"/>
    <w:rsid w:val="006E259B"/>
    <w:rsid w:val="006E2609"/>
    <w:rsid w:val="006E29C6"/>
    <w:rsid w:val="006E2A13"/>
    <w:rsid w:val="006E46FE"/>
    <w:rsid w:val="006E49F5"/>
    <w:rsid w:val="006F04EF"/>
    <w:rsid w:val="006F069D"/>
    <w:rsid w:val="006F1DB9"/>
    <w:rsid w:val="006F2531"/>
    <w:rsid w:val="006F4B02"/>
    <w:rsid w:val="006F4BA8"/>
    <w:rsid w:val="006F63E5"/>
    <w:rsid w:val="00702016"/>
    <w:rsid w:val="0070286D"/>
    <w:rsid w:val="00702B04"/>
    <w:rsid w:val="00704D7A"/>
    <w:rsid w:val="00710775"/>
    <w:rsid w:val="00710811"/>
    <w:rsid w:val="00710910"/>
    <w:rsid w:val="00710EA8"/>
    <w:rsid w:val="007152D2"/>
    <w:rsid w:val="00717ACF"/>
    <w:rsid w:val="00721876"/>
    <w:rsid w:val="0072610A"/>
    <w:rsid w:val="00727155"/>
    <w:rsid w:val="00730720"/>
    <w:rsid w:val="007339C1"/>
    <w:rsid w:val="007341F6"/>
    <w:rsid w:val="00735F7A"/>
    <w:rsid w:val="0073658B"/>
    <w:rsid w:val="007372C6"/>
    <w:rsid w:val="00740E80"/>
    <w:rsid w:val="0074230F"/>
    <w:rsid w:val="00742A4C"/>
    <w:rsid w:val="00743A6C"/>
    <w:rsid w:val="00747320"/>
    <w:rsid w:val="00754E81"/>
    <w:rsid w:val="00756851"/>
    <w:rsid w:val="00756E35"/>
    <w:rsid w:val="00756EBE"/>
    <w:rsid w:val="007616BA"/>
    <w:rsid w:val="007625B2"/>
    <w:rsid w:val="007628CA"/>
    <w:rsid w:val="00764612"/>
    <w:rsid w:val="00764807"/>
    <w:rsid w:val="00764EE4"/>
    <w:rsid w:val="00766773"/>
    <w:rsid w:val="0077016F"/>
    <w:rsid w:val="007703E2"/>
    <w:rsid w:val="00770AF2"/>
    <w:rsid w:val="007718C9"/>
    <w:rsid w:val="00772712"/>
    <w:rsid w:val="00773007"/>
    <w:rsid w:val="00774599"/>
    <w:rsid w:val="007764C5"/>
    <w:rsid w:val="00776D41"/>
    <w:rsid w:val="00777E09"/>
    <w:rsid w:val="0078000B"/>
    <w:rsid w:val="00780B2F"/>
    <w:rsid w:val="00780E8B"/>
    <w:rsid w:val="00782CEF"/>
    <w:rsid w:val="0078358A"/>
    <w:rsid w:val="00783B11"/>
    <w:rsid w:val="0078495C"/>
    <w:rsid w:val="00785774"/>
    <w:rsid w:val="00786592"/>
    <w:rsid w:val="00786A4E"/>
    <w:rsid w:val="007900AB"/>
    <w:rsid w:val="00791F01"/>
    <w:rsid w:val="007927DB"/>
    <w:rsid w:val="00793618"/>
    <w:rsid w:val="00794D6A"/>
    <w:rsid w:val="00796A72"/>
    <w:rsid w:val="00796DAA"/>
    <w:rsid w:val="007971F0"/>
    <w:rsid w:val="00797752"/>
    <w:rsid w:val="00797D23"/>
    <w:rsid w:val="007A011B"/>
    <w:rsid w:val="007A327A"/>
    <w:rsid w:val="007A385D"/>
    <w:rsid w:val="007A4375"/>
    <w:rsid w:val="007A5254"/>
    <w:rsid w:val="007B133B"/>
    <w:rsid w:val="007B1E5E"/>
    <w:rsid w:val="007B2F5F"/>
    <w:rsid w:val="007B3254"/>
    <w:rsid w:val="007B38A0"/>
    <w:rsid w:val="007B3CB7"/>
    <w:rsid w:val="007B4CC9"/>
    <w:rsid w:val="007B5D70"/>
    <w:rsid w:val="007B6500"/>
    <w:rsid w:val="007C1205"/>
    <w:rsid w:val="007C3050"/>
    <w:rsid w:val="007C50D4"/>
    <w:rsid w:val="007C5B82"/>
    <w:rsid w:val="007C7DA3"/>
    <w:rsid w:val="007D4C84"/>
    <w:rsid w:val="007D7645"/>
    <w:rsid w:val="007E0057"/>
    <w:rsid w:val="007E171E"/>
    <w:rsid w:val="007E1ED5"/>
    <w:rsid w:val="007E471A"/>
    <w:rsid w:val="007E4909"/>
    <w:rsid w:val="007E4AC3"/>
    <w:rsid w:val="007E5C4A"/>
    <w:rsid w:val="007E5DE1"/>
    <w:rsid w:val="007E7306"/>
    <w:rsid w:val="007E7ED3"/>
    <w:rsid w:val="007F1FB0"/>
    <w:rsid w:val="008021B9"/>
    <w:rsid w:val="00803D0D"/>
    <w:rsid w:val="0080459C"/>
    <w:rsid w:val="00805350"/>
    <w:rsid w:val="008056E9"/>
    <w:rsid w:val="00806A3D"/>
    <w:rsid w:val="00811186"/>
    <w:rsid w:val="00811FE2"/>
    <w:rsid w:val="0081232F"/>
    <w:rsid w:val="00812A56"/>
    <w:rsid w:val="00812F9F"/>
    <w:rsid w:val="00813A09"/>
    <w:rsid w:val="00817F9B"/>
    <w:rsid w:val="008229A8"/>
    <w:rsid w:val="00822E39"/>
    <w:rsid w:val="00822F48"/>
    <w:rsid w:val="008250C2"/>
    <w:rsid w:val="00825259"/>
    <w:rsid w:val="0082590B"/>
    <w:rsid w:val="0082739B"/>
    <w:rsid w:val="00835DF7"/>
    <w:rsid w:val="00835FE8"/>
    <w:rsid w:val="00836C60"/>
    <w:rsid w:val="00840C8F"/>
    <w:rsid w:val="008413ED"/>
    <w:rsid w:val="0084177E"/>
    <w:rsid w:val="008423D7"/>
    <w:rsid w:val="00842C48"/>
    <w:rsid w:val="008448FC"/>
    <w:rsid w:val="0084548E"/>
    <w:rsid w:val="00851E51"/>
    <w:rsid w:val="00853D70"/>
    <w:rsid w:val="00854273"/>
    <w:rsid w:val="0086221F"/>
    <w:rsid w:val="00863AA5"/>
    <w:rsid w:val="00864A2A"/>
    <w:rsid w:val="00866D1F"/>
    <w:rsid w:val="00867A72"/>
    <w:rsid w:val="00870CF0"/>
    <w:rsid w:val="00871207"/>
    <w:rsid w:val="00872362"/>
    <w:rsid w:val="008743B8"/>
    <w:rsid w:val="00874654"/>
    <w:rsid w:val="00874FC9"/>
    <w:rsid w:val="00876CC8"/>
    <w:rsid w:val="00877147"/>
    <w:rsid w:val="00877487"/>
    <w:rsid w:val="0087777E"/>
    <w:rsid w:val="00880069"/>
    <w:rsid w:val="00881038"/>
    <w:rsid w:val="008814AD"/>
    <w:rsid w:val="008826AA"/>
    <w:rsid w:val="008855E1"/>
    <w:rsid w:val="00885E87"/>
    <w:rsid w:val="008925D1"/>
    <w:rsid w:val="00892F18"/>
    <w:rsid w:val="008944B3"/>
    <w:rsid w:val="008944E9"/>
    <w:rsid w:val="008968A5"/>
    <w:rsid w:val="008A450F"/>
    <w:rsid w:val="008A53F6"/>
    <w:rsid w:val="008A561F"/>
    <w:rsid w:val="008A714E"/>
    <w:rsid w:val="008B14D8"/>
    <w:rsid w:val="008B1D16"/>
    <w:rsid w:val="008B2C59"/>
    <w:rsid w:val="008B2FEF"/>
    <w:rsid w:val="008B49BD"/>
    <w:rsid w:val="008B5112"/>
    <w:rsid w:val="008B57EE"/>
    <w:rsid w:val="008B7325"/>
    <w:rsid w:val="008B7B25"/>
    <w:rsid w:val="008C1D5C"/>
    <w:rsid w:val="008C5309"/>
    <w:rsid w:val="008C550D"/>
    <w:rsid w:val="008C6DA7"/>
    <w:rsid w:val="008D0292"/>
    <w:rsid w:val="008D0911"/>
    <w:rsid w:val="008D2980"/>
    <w:rsid w:val="008D3162"/>
    <w:rsid w:val="008D3D4A"/>
    <w:rsid w:val="008D6B13"/>
    <w:rsid w:val="008E0063"/>
    <w:rsid w:val="008E0689"/>
    <w:rsid w:val="008E5097"/>
    <w:rsid w:val="008E633F"/>
    <w:rsid w:val="008F01BF"/>
    <w:rsid w:val="008F07A8"/>
    <w:rsid w:val="008F2592"/>
    <w:rsid w:val="008F3A51"/>
    <w:rsid w:val="00901AC4"/>
    <w:rsid w:val="00902124"/>
    <w:rsid w:val="00902F08"/>
    <w:rsid w:val="00905BEA"/>
    <w:rsid w:val="0090627D"/>
    <w:rsid w:val="009065B1"/>
    <w:rsid w:val="00906CB2"/>
    <w:rsid w:val="00911342"/>
    <w:rsid w:val="00916002"/>
    <w:rsid w:val="009161A8"/>
    <w:rsid w:val="009210C7"/>
    <w:rsid w:val="009212A7"/>
    <w:rsid w:val="009228BA"/>
    <w:rsid w:val="0092615B"/>
    <w:rsid w:val="009266DB"/>
    <w:rsid w:val="00926B1E"/>
    <w:rsid w:val="00926BEE"/>
    <w:rsid w:val="00927912"/>
    <w:rsid w:val="0093336E"/>
    <w:rsid w:val="00933DCD"/>
    <w:rsid w:val="009340CC"/>
    <w:rsid w:val="00941B06"/>
    <w:rsid w:val="0094232A"/>
    <w:rsid w:val="00944698"/>
    <w:rsid w:val="00944A25"/>
    <w:rsid w:val="009454BB"/>
    <w:rsid w:val="009454FF"/>
    <w:rsid w:val="009461E1"/>
    <w:rsid w:val="00946421"/>
    <w:rsid w:val="00950745"/>
    <w:rsid w:val="00950D22"/>
    <w:rsid w:val="00952B78"/>
    <w:rsid w:val="00955AF1"/>
    <w:rsid w:val="0096063C"/>
    <w:rsid w:val="00960D64"/>
    <w:rsid w:val="009643D3"/>
    <w:rsid w:val="00965A69"/>
    <w:rsid w:val="00965C3E"/>
    <w:rsid w:val="009703BB"/>
    <w:rsid w:val="00971244"/>
    <w:rsid w:val="009713A7"/>
    <w:rsid w:val="00972016"/>
    <w:rsid w:val="00972952"/>
    <w:rsid w:val="009730CD"/>
    <w:rsid w:val="00976204"/>
    <w:rsid w:val="009779E9"/>
    <w:rsid w:val="009779EE"/>
    <w:rsid w:val="00980BD0"/>
    <w:rsid w:val="00981326"/>
    <w:rsid w:val="00981B1A"/>
    <w:rsid w:val="009850F3"/>
    <w:rsid w:val="0098572D"/>
    <w:rsid w:val="0098756C"/>
    <w:rsid w:val="0099032A"/>
    <w:rsid w:val="0099051E"/>
    <w:rsid w:val="0099196C"/>
    <w:rsid w:val="009925A2"/>
    <w:rsid w:val="009955F7"/>
    <w:rsid w:val="00996F42"/>
    <w:rsid w:val="00997C09"/>
    <w:rsid w:val="00997EE9"/>
    <w:rsid w:val="009A01B2"/>
    <w:rsid w:val="009A1C4D"/>
    <w:rsid w:val="009A22A6"/>
    <w:rsid w:val="009A32E1"/>
    <w:rsid w:val="009A441F"/>
    <w:rsid w:val="009A4D9B"/>
    <w:rsid w:val="009A5F8F"/>
    <w:rsid w:val="009A6ACE"/>
    <w:rsid w:val="009A71F7"/>
    <w:rsid w:val="009B2260"/>
    <w:rsid w:val="009B2FBA"/>
    <w:rsid w:val="009B3BE2"/>
    <w:rsid w:val="009B42D0"/>
    <w:rsid w:val="009B652A"/>
    <w:rsid w:val="009C09CE"/>
    <w:rsid w:val="009C35C0"/>
    <w:rsid w:val="009C4A9D"/>
    <w:rsid w:val="009C5AB9"/>
    <w:rsid w:val="009C5DA6"/>
    <w:rsid w:val="009C6843"/>
    <w:rsid w:val="009D68C4"/>
    <w:rsid w:val="009D6AAD"/>
    <w:rsid w:val="009E01C9"/>
    <w:rsid w:val="009E14E1"/>
    <w:rsid w:val="009E1A57"/>
    <w:rsid w:val="009E1DDB"/>
    <w:rsid w:val="009E28F5"/>
    <w:rsid w:val="009E3C0B"/>
    <w:rsid w:val="009E7803"/>
    <w:rsid w:val="009E7D4B"/>
    <w:rsid w:val="009F08CA"/>
    <w:rsid w:val="009F47E3"/>
    <w:rsid w:val="009F5641"/>
    <w:rsid w:val="009F56D5"/>
    <w:rsid w:val="009F6E61"/>
    <w:rsid w:val="009F7198"/>
    <w:rsid w:val="00A02547"/>
    <w:rsid w:val="00A046C8"/>
    <w:rsid w:val="00A04821"/>
    <w:rsid w:val="00A04C9C"/>
    <w:rsid w:val="00A050C3"/>
    <w:rsid w:val="00A07422"/>
    <w:rsid w:val="00A079EE"/>
    <w:rsid w:val="00A12A4A"/>
    <w:rsid w:val="00A15CA6"/>
    <w:rsid w:val="00A15EEE"/>
    <w:rsid w:val="00A16918"/>
    <w:rsid w:val="00A17F89"/>
    <w:rsid w:val="00A25529"/>
    <w:rsid w:val="00A27483"/>
    <w:rsid w:val="00A30BE7"/>
    <w:rsid w:val="00A31ABD"/>
    <w:rsid w:val="00A33AA0"/>
    <w:rsid w:val="00A34CE6"/>
    <w:rsid w:val="00A3568A"/>
    <w:rsid w:val="00A35E75"/>
    <w:rsid w:val="00A35EF1"/>
    <w:rsid w:val="00A37361"/>
    <w:rsid w:val="00A377A4"/>
    <w:rsid w:val="00A43A12"/>
    <w:rsid w:val="00A44AD9"/>
    <w:rsid w:val="00A46AE8"/>
    <w:rsid w:val="00A47D59"/>
    <w:rsid w:val="00A51F84"/>
    <w:rsid w:val="00A52292"/>
    <w:rsid w:val="00A52453"/>
    <w:rsid w:val="00A528CF"/>
    <w:rsid w:val="00A56EB5"/>
    <w:rsid w:val="00A61222"/>
    <w:rsid w:val="00A617E5"/>
    <w:rsid w:val="00A67966"/>
    <w:rsid w:val="00A721DC"/>
    <w:rsid w:val="00A72624"/>
    <w:rsid w:val="00A72637"/>
    <w:rsid w:val="00A72D5D"/>
    <w:rsid w:val="00A73737"/>
    <w:rsid w:val="00A74B21"/>
    <w:rsid w:val="00A76910"/>
    <w:rsid w:val="00A77AD3"/>
    <w:rsid w:val="00A77AF9"/>
    <w:rsid w:val="00A804F5"/>
    <w:rsid w:val="00A8158C"/>
    <w:rsid w:val="00A8352F"/>
    <w:rsid w:val="00A83E97"/>
    <w:rsid w:val="00A84651"/>
    <w:rsid w:val="00A8587B"/>
    <w:rsid w:val="00A86BB3"/>
    <w:rsid w:val="00A91A69"/>
    <w:rsid w:val="00A97454"/>
    <w:rsid w:val="00AA27BF"/>
    <w:rsid w:val="00AA435E"/>
    <w:rsid w:val="00AA6E18"/>
    <w:rsid w:val="00AB0C73"/>
    <w:rsid w:val="00AB2155"/>
    <w:rsid w:val="00AB3E89"/>
    <w:rsid w:val="00AB4FDB"/>
    <w:rsid w:val="00AB750F"/>
    <w:rsid w:val="00AB7579"/>
    <w:rsid w:val="00AC0008"/>
    <w:rsid w:val="00AC2175"/>
    <w:rsid w:val="00AC3F0F"/>
    <w:rsid w:val="00AC53F8"/>
    <w:rsid w:val="00AD0FAC"/>
    <w:rsid w:val="00AD2544"/>
    <w:rsid w:val="00AD4793"/>
    <w:rsid w:val="00AD77EB"/>
    <w:rsid w:val="00AE2566"/>
    <w:rsid w:val="00AE3803"/>
    <w:rsid w:val="00AE4F20"/>
    <w:rsid w:val="00AE5242"/>
    <w:rsid w:val="00AE5259"/>
    <w:rsid w:val="00AE7E3B"/>
    <w:rsid w:val="00AF011B"/>
    <w:rsid w:val="00AF0221"/>
    <w:rsid w:val="00AF268D"/>
    <w:rsid w:val="00AF344B"/>
    <w:rsid w:val="00AF38CF"/>
    <w:rsid w:val="00AF3B81"/>
    <w:rsid w:val="00AF3D0D"/>
    <w:rsid w:val="00AF4C56"/>
    <w:rsid w:val="00AF57FD"/>
    <w:rsid w:val="00B00111"/>
    <w:rsid w:val="00B0036C"/>
    <w:rsid w:val="00B028CD"/>
    <w:rsid w:val="00B02C93"/>
    <w:rsid w:val="00B02DA7"/>
    <w:rsid w:val="00B0388A"/>
    <w:rsid w:val="00B0497F"/>
    <w:rsid w:val="00B06559"/>
    <w:rsid w:val="00B06CBF"/>
    <w:rsid w:val="00B10363"/>
    <w:rsid w:val="00B11E25"/>
    <w:rsid w:val="00B12E96"/>
    <w:rsid w:val="00B13DA8"/>
    <w:rsid w:val="00B17152"/>
    <w:rsid w:val="00B1766D"/>
    <w:rsid w:val="00B20083"/>
    <w:rsid w:val="00B20290"/>
    <w:rsid w:val="00B20E6A"/>
    <w:rsid w:val="00B21E6E"/>
    <w:rsid w:val="00B23367"/>
    <w:rsid w:val="00B24C5C"/>
    <w:rsid w:val="00B252B3"/>
    <w:rsid w:val="00B254E3"/>
    <w:rsid w:val="00B25738"/>
    <w:rsid w:val="00B25CF5"/>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0AAC"/>
    <w:rsid w:val="00B50F84"/>
    <w:rsid w:val="00B51127"/>
    <w:rsid w:val="00B51998"/>
    <w:rsid w:val="00B51BB7"/>
    <w:rsid w:val="00B5382A"/>
    <w:rsid w:val="00B560C7"/>
    <w:rsid w:val="00B579DB"/>
    <w:rsid w:val="00B60065"/>
    <w:rsid w:val="00B616BC"/>
    <w:rsid w:val="00B61AC9"/>
    <w:rsid w:val="00B649E0"/>
    <w:rsid w:val="00B64A56"/>
    <w:rsid w:val="00B65D36"/>
    <w:rsid w:val="00B66120"/>
    <w:rsid w:val="00B67650"/>
    <w:rsid w:val="00B677FF"/>
    <w:rsid w:val="00B67A63"/>
    <w:rsid w:val="00B71685"/>
    <w:rsid w:val="00B750EA"/>
    <w:rsid w:val="00B7667F"/>
    <w:rsid w:val="00B76AA1"/>
    <w:rsid w:val="00B76AC1"/>
    <w:rsid w:val="00B76D17"/>
    <w:rsid w:val="00B90E2E"/>
    <w:rsid w:val="00B921C6"/>
    <w:rsid w:val="00B92A62"/>
    <w:rsid w:val="00B93E2D"/>
    <w:rsid w:val="00B9736A"/>
    <w:rsid w:val="00B97A7A"/>
    <w:rsid w:val="00BA1658"/>
    <w:rsid w:val="00BA4C6C"/>
    <w:rsid w:val="00BA71BB"/>
    <w:rsid w:val="00BA768F"/>
    <w:rsid w:val="00BA79E5"/>
    <w:rsid w:val="00BB086C"/>
    <w:rsid w:val="00BB29EA"/>
    <w:rsid w:val="00BB2D97"/>
    <w:rsid w:val="00BB59C2"/>
    <w:rsid w:val="00BB5BCF"/>
    <w:rsid w:val="00BB6F3C"/>
    <w:rsid w:val="00BC2BC8"/>
    <w:rsid w:val="00BC3BCB"/>
    <w:rsid w:val="00BD0BF0"/>
    <w:rsid w:val="00BD2888"/>
    <w:rsid w:val="00BD2B8A"/>
    <w:rsid w:val="00BD4055"/>
    <w:rsid w:val="00BD4F10"/>
    <w:rsid w:val="00BD698F"/>
    <w:rsid w:val="00BE0063"/>
    <w:rsid w:val="00BE0B04"/>
    <w:rsid w:val="00BE0C57"/>
    <w:rsid w:val="00BE34C9"/>
    <w:rsid w:val="00BE435D"/>
    <w:rsid w:val="00BE4457"/>
    <w:rsid w:val="00BE6915"/>
    <w:rsid w:val="00BE6BB6"/>
    <w:rsid w:val="00BF1BF6"/>
    <w:rsid w:val="00BF4E3A"/>
    <w:rsid w:val="00BF5378"/>
    <w:rsid w:val="00BF76A9"/>
    <w:rsid w:val="00C003CD"/>
    <w:rsid w:val="00C003E3"/>
    <w:rsid w:val="00C038C2"/>
    <w:rsid w:val="00C038DB"/>
    <w:rsid w:val="00C041DE"/>
    <w:rsid w:val="00C06E6E"/>
    <w:rsid w:val="00C105D7"/>
    <w:rsid w:val="00C110D0"/>
    <w:rsid w:val="00C1183C"/>
    <w:rsid w:val="00C15E01"/>
    <w:rsid w:val="00C16F86"/>
    <w:rsid w:val="00C22FEF"/>
    <w:rsid w:val="00C23F57"/>
    <w:rsid w:val="00C24FF7"/>
    <w:rsid w:val="00C30C3E"/>
    <w:rsid w:val="00C3299B"/>
    <w:rsid w:val="00C334AA"/>
    <w:rsid w:val="00C368F1"/>
    <w:rsid w:val="00C421EE"/>
    <w:rsid w:val="00C435FA"/>
    <w:rsid w:val="00C45435"/>
    <w:rsid w:val="00C45FC6"/>
    <w:rsid w:val="00C52D36"/>
    <w:rsid w:val="00C54AA5"/>
    <w:rsid w:val="00C57CAF"/>
    <w:rsid w:val="00C62B76"/>
    <w:rsid w:val="00C64FAD"/>
    <w:rsid w:val="00C676E6"/>
    <w:rsid w:val="00C72549"/>
    <w:rsid w:val="00C7301F"/>
    <w:rsid w:val="00C74723"/>
    <w:rsid w:val="00C75106"/>
    <w:rsid w:val="00C75869"/>
    <w:rsid w:val="00C76B8E"/>
    <w:rsid w:val="00C77B60"/>
    <w:rsid w:val="00C80889"/>
    <w:rsid w:val="00C809ED"/>
    <w:rsid w:val="00C80DB6"/>
    <w:rsid w:val="00C81054"/>
    <w:rsid w:val="00C811F6"/>
    <w:rsid w:val="00C815EA"/>
    <w:rsid w:val="00C82D95"/>
    <w:rsid w:val="00C8312E"/>
    <w:rsid w:val="00C83994"/>
    <w:rsid w:val="00C8565D"/>
    <w:rsid w:val="00C871C5"/>
    <w:rsid w:val="00C92A64"/>
    <w:rsid w:val="00C94D52"/>
    <w:rsid w:val="00C95659"/>
    <w:rsid w:val="00C97702"/>
    <w:rsid w:val="00CA338B"/>
    <w:rsid w:val="00CA3D20"/>
    <w:rsid w:val="00CA4080"/>
    <w:rsid w:val="00CA46BA"/>
    <w:rsid w:val="00CA4C11"/>
    <w:rsid w:val="00CA50EA"/>
    <w:rsid w:val="00CB0E79"/>
    <w:rsid w:val="00CB16AB"/>
    <w:rsid w:val="00CB3330"/>
    <w:rsid w:val="00CB4874"/>
    <w:rsid w:val="00CB67C2"/>
    <w:rsid w:val="00CB7084"/>
    <w:rsid w:val="00CC3DEF"/>
    <w:rsid w:val="00CC6D4C"/>
    <w:rsid w:val="00CC73A9"/>
    <w:rsid w:val="00CC754C"/>
    <w:rsid w:val="00CC764D"/>
    <w:rsid w:val="00CD08D9"/>
    <w:rsid w:val="00CD20BE"/>
    <w:rsid w:val="00CD278B"/>
    <w:rsid w:val="00CD3493"/>
    <w:rsid w:val="00CD4CB9"/>
    <w:rsid w:val="00CD4D4F"/>
    <w:rsid w:val="00CD512E"/>
    <w:rsid w:val="00CD56C5"/>
    <w:rsid w:val="00CD7064"/>
    <w:rsid w:val="00CD7A63"/>
    <w:rsid w:val="00CE088A"/>
    <w:rsid w:val="00CE2A1F"/>
    <w:rsid w:val="00CE497C"/>
    <w:rsid w:val="00CE5425"/>
    <w:rsid w:val="00CE64E4"/>
    <w:rsid w:val="00CE790C"/>
    <w:rsid w:val="00CF18DE"/>
    <w:rsid w:val="00CF42BD"/>
    <w:rsid w:val="00CF520A"/>
    <w:rsid w:val="00CF7008"/>
    <w:rsid w:val="00D047A1"/>
    <w:rsid w:val="00D05053"/>
    <w:rsid w:val="00D12A7C"/>
    <w:rsid w:val="00D15065"/>
    <w:rsid w:val="00D21723"/>
    <w:rsid w:val="00D23F8B"/>
    <w:rsid w:val="00D24420"/>
    <w:rsid w:val="00D24FF1"/>
    <w:rsid w:val="00D269F5"/>
    <w:rsid w:val="00D26A44"/>
    <w:rsid w:val="00D26C2B"/>
    <w:rsid w:val="00D30582"/>
    <w:rsid w:val="00D3154F"/>
    <w:rsid w:val="00D339CA"/>
    <w:rsid w:val="00D34468"/>
    <w:rsid w:val="00D34E83"/>
    <w:rsid w:val="00D35801"/>
    <w:rsid w:val="00D413F5"/>
    <w:rsid w:val="00D44485"/>
    <w:rsid w:val="00D44F98"/>
    <w:rsid w:val="00D46C60"/>
    <w:rsid w:val="00D4728B"/>
    <w:rsid w:val="00D47BD3"/>
    <w:rsid w:val="00D518A5"/>
    <w:rsid w:val="00D52CE4"/>
    <w:rsid w:val="00D53FFF"/>
    <w:rsid w:val="00D54F32"/>
    <w:rsid w:val="00D56570"/>
    <w:rsid w:val="00D56843"/>
    <w:rsid w:val="00D6393F"/>
    <w:rsid w:val="00D65CFC"/>
    <w:rsid w:val="00D667F3"/>
    <w:rsid w:val="00D66857"/>
    <w:rsid w:val="00D70711"/>
    <w:rsid w:val="00D72091"/>
    <w:rsid w:val="00D73A2F"/>
    <w:rsid w:val="00D74F2A"/>
    <w:rsid w:val="00D75820"/>
    <w:rsid w:val="00D76BF9"/>
    <w:rsid w:val="00D77F7D"/>
    <w:rsid w:val="00D8552B"/>
    <w:rsid w:val="00D86310"/>
    <w:rsid w:val="00D87A13"/>
    <w:rsid w:val="00D90D4F"/>
    <w:rsid w:val="00D9504F"/>
    <w:rsid w:val="00D9773F"/>
    <w:rsid w:val="00DA0716"/>
    <w:rsid w:val="00DA1B32"/>
    <w:rsid w:val="00DA1E20"/>
    <w:rsid w:val="00DA28A1"/>
    <w:rsid w:val="00DB022D"/>
    <w:rsid w:val="00DB048A"/>
    <w:rsid w:val="00DB26EE"/>
    <w:rsid w:val="00DB30F0"/>
    <w:rsid w:val="00DB3F0B"/>
    <w:rsid w:val="00DB52A3"/>
    <w:rsid w:val="00DB58E0"/>
    <w:rsid w:val="00DB6763"/>
    <w:rsid w:val="00DC03B9"/>
    <w:rsid w:val="00DC070F"/>
    <w:rsid w:val="00DC1BD1"/>
    <w:rsid w:val="00DC2585"/>
    <w:rsid w:val="00DC31AD"/>
    <w:rsid w:val="00DC4257"/>
    <w:rsid w:val="00DC6DAB"/>
    <w:rsid w:val="00DC7016"/>
    <w:rsid w:val="00DD0E50"/>
    <w:rsid w:val="00DD3031"/>
    <w:rsid w:val="00DD3997"/>
    <w:rsid w:val="00DD58F7"/>
    <w:rsid w:val="00DD7435"/>
    <w:rsid w:val="00DE070F"/>
    <w:rsid w:val="00DE0859"/>
    <w:rsid w:val="00DE116F"/>
    <w:rsid w:val="00DE34B6"/>
    <w:rsid w:val="00DE54A7"/>
    <w:rsid w:val="00DE5E0C"/>
    <w:rsid w:val="00DE7FED"/>
    <w:rsid w:val="00DF1870"/>
    <w:rsid w:val="00DF3A52"/>
    <w:rsid w:val="00DF5871"/>
    <w:rsid w:val="00E04DBA"/>
    <w:rsid w:val="00E059F8"/>
    <w:rsid w:val="00E121B3"/>
    <w:rsid w:val="00E147B4"/>
    <w:rsid w:val="00E14BCC"/>
    <w:rsid w:val="00E15555"/>
    <w:rsid w:val="00E167DF"/>
    <w:rsid w:val="00E17689"/>
    <w:rsid w:val="00E21491"/>
    <w:rsid w:val="00E215D3"/>
    <w:rsid w:val="00E21D8F"/>
    <w:rsid w:val="00E22A86"/>
    <w:rsid w:val="00E24C88"/>
    <w:rsid w:val="00E24DA5"/>
    <w:rsid w:val="00E26C79"/>
    <w:rsid w:val="00E27267"/>
    <w:rsid w:val="00E27BFF"/>
    <w:rsid w:val="00E30135"/>
    <w:rsid w:val="00E332CD"/>
    <w:rsid w:val="00E353FC"/>
    <w:rsid w:val="00E35D39"/>
    <w:rsid w:val="00E36A4C"/>
    <w:rsid w:val="00E378F0"/>
    <w:rsid w:val="00E459C8"/>
    <w:rsid w:val="00E4614A"/>
    <w:rsid w:val="00E46B2B"/>
    <w:rsid w:val="00E4750B"/>
    <w:rsid w:val="00E50F03"/>
    <w:rsid w:val="00E5344F"/>
    <w:rsid w:val="00E54AE6"/>
    <w:rsid w:val="00E5659A"/>
    <w:rsid w:val="00E56838"/>
    <w:rsid w:val="00E57B75"/>
    <w:rsid w:val="00E6033A"/>
    <w:rsid w:val="00E63051"/>
    <w:rsid w:val="00E63D2E"/>
    <w:rsid w:val="00E673E8"/>
    <w:rsid w:val="00E70942"/>
    <w:rsid w:val="00E70B49"/>
    <w:rsid w:val="00E71894"/>
    <w:rsid w:val="00E72705"/>
    <w:rsid w:val="00E73BD6"/>
    <w:rsid w:val="00E74F22"/>
    <w:rsid w:val="00E757EE"/>
    <w:rsid w:val="00E7671A"/>
    <w:rsid w:val="00E76E59"/>
    <w:rsid w:val="00E8185D"/>
    <w:rsid w:val="00E82994"/>
    <w:rsid w:val="00E8319C"/>
    <w:rsid w:val="00E842CB"/>
    <w:rsid w:val="00E84949"/>
    <w:rsid w:val="00E8662F"/>
    <w:rsid w:val="00E87BD3"/>
    <w:rsid w:val="00E9040C"/>
    <w:rsid w:val="00E91CAC"/>
    <w:rsid w:val="00E92499"/>
    <w:rsid w:val="00E9363B"/>
    <w:rsid w:val="00E97E30"/>
    <w:rsid w:val="00EA0E27"/>
    <w:rsid w:val="00EA23A3"/>
    <w:rsid w:val="00EA3483"/>
    <w:rsid w:val="00EA460D"/>
    <w:rsid w:val="00EA5B39"/>
    <w:rsid w:val="00EB08A1"/>
    <w:rsid w:val="00EB1077"/>
    <w:rsid w:val="00EB126D"/>
    <w:rsid w:val="00EB413F"/>
    <w:rsid w:val="00EB4573"/>
    <w:rsid w:val="00EB47E3"/>
    <w:rsid w:val="00EB7FC0"/>
    <w:rsid w:val="00EC4086"/>
    <w:rsid w:val="00EC464B"/>
    <w:rsid w:val="00ED37ED"/>
    <w:rsid w:val="00ED4912"/>
    <w:rsid w:val="00ED6D9A"/>
    <w:rsid w:val="00EE1BB2"/>
    <w:rsid w:val="00EE44E4"/>
    <w:rsid w:val="00EE5FA0"/>
    <w:rsid w:val="00EF05E2"/>
    <w:rsid w:val="00EF1F53"/>
    <w:rsid w:val="00EF2B1E"/>
    <w:rsid w:val="00EF51EE"/>
    <w:rsid w:val="00EF5211"/>
    <w:rsid w:val="00EF5C17"/>
    <w:rsid w:val="00EF7863"/>
    <w:rsid w:val="00EF7EE2"/>
    <w:rsid w:val="00F01206"/>
    <w:rsid w:val="00F0175F"/>
    <w:rsid w:val="00F02C9C"/>
    <w:rsid w:val="00F03AFA"/>
    <w:rsid w:val="00F05433"/>
    <w:rsid w:val="00F112C3"/>
    <w:rsid w:val="00F115DF"/>
    <w:rsid w:val="00F11754"/>
    <w:rsid w:val="00F15190"/>
    <w:rsid w:val="00F1652B"/>
    <w:rsid w:val="00F165F8"/>
    <w:rsid w:val="00F1670B"/>
    <w:rsid w:val="00F20C35"/>
    <w:rsid w:val="00F2272B"/>
    <w:rsid w:val="00F2358E"/>
    <w:rsid w:val="00F24C01"/>
    <w:rsid w:val="00F26B7B"/>
    <w:rsid w:val="00F27EF6"/>
    <w:rsid w:val="00F3144F"/>
    <w:rsid w:val="00F31906"/>
    <w:rsid w:val="00F3283E"/>
    <w:rsid w:val="00F32D7B"/>
    <w:rsid w:val="00F32EC5"/>
    <w:rsid w:val="00F34159"/>
    <w:rsid w:val="00F3587F"/>
    <w:rsid w:val="00F3733C"/>
    <w:rsid w:val="00F442B0"/>
    <w:rsid w:val="00F454E2"/>
    <w:rsid w:val="00F50EB0"/>
    <w:rsid w:val="00F520DB"/>
    <w:rsid w:val="00F52BA7"/>
    <w:rsid w:val="00F542D8"/>
    <w:rsid w:val="00F56373"/>
    <w:rsid w:val="00F5672C"/>
    <w:rsid w:val="00F57FEC"/>
    <w:rsid w:val="00F645B1"/>
    <w:rsid w:val="00F6711E"/>
    <w:rsid w:val="00F707C4"/>
    <w:rsid w:val="00F7189F"/>
    <w:rsid w:val="00F726FC"/>
    <w:rsid w:val="00F73CF0"/>
    <w:rsid w:val="00F7516E"/>
    <w:rsid w:val="00F814C1"/>
    <w:rsid w:val="00F82E70"/>
    <w:rsid w:val="00F82F09"/>
    <w:rsid w:val="00F877BF"/>
    <w:rsid w:val="00F87AB2"/>
    <w:rsid w:val="00F945A3"/>
    <w:rsid w:val="00FA005F"/>
    <w:rsid w:val="00FA04BE"/>
    <w:rsid w:val="00FA0793"/>
    <w:rsid w:val="00FA08C7"/>
    <w:rsid w:val="00FA0B41"/>
    <w:rsid w:val="00FA0D0E"/>
    <w:rsid w:val="00FA11DA"/>
    <w:rsid w:val="00FA3230"/>
    <w:rsid w:val="00FA3B98"/>
    <w:rsid w:val="00FA50A2"/>
    <w:rsid w:val="00FA5812"/>
    <w:rsid w:val="00FA5D7B"/>
    <w:rsid w:val="00FA654B"/>
    <w:rsid w:val="00FB03A1"/>
    <w:rsid w:val="00FB32C2"/>
    <w:rsid w:val="00FB4839"/>
    <w:rsid w:val="00FB6289"/>
    <w:rsid w:val="00FB7194"/>
    <w:rsid w:val="00FB76E5"/>
    <w:rsid w:val="00FB7A01"/>
    <w:rsid w:val="00FB7B9D"/>
    <w:rsid w:val="00FC3796"/>
    <w:rsid w:val="00FC560C"/>
    <w:rsid w:val="00FC7ED8"/>
    <w:rsid w:val="00FD05D8"/>
    <w:rsid w:val="00FD0C4A"/>
    <w:rsid w:val="00FD218E"/>
    <w:rsid w:val="00FD2427"/>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1CED"/>
    <w:rsid w:val="00FF59B0"/>
    <w:rsid w:val="00FF59EA"/>
    <w:rsid w:val="00FF5D9E"/>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132F6D"/>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EC4086"/>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unhideWhenUsed/>
    <w:rsid w:val="00153A77"/>
    <w:rPr>
      <w:sz w:val="20"/>
    </w:rPr>
  </w:style>
  <w:style w:type="character" w:customStyle="1" w:styleId="TextonotapieCar">
    <w:name w:val="Texto nota pie Car"/>
    <w:basedOn w:val="Fuentedeprrafopredeter"/>
    <w:link w:val="Textonotapie"/>
    <w:uiPriority w:val="99"/>
    <w:rsid w:val="00153A77"/>
    <w:rPr>
      <w:rFonts w:ascii="Arial" w:hAnsi="Arial"/>
      <w:color w:val="000000"/>
    </w:rPr>
  </w:style>
  <w:style w:type="character" w:styleId="Refdenotaalpie">
    <w:name w:val="footnote reference"/>
    <w:basedOn w:val="Fuentedeprrafopredeter"/>
    <w:uiPriority w:val="99"/>
    <w:semiHidden/>
    <w:unhideWhenUsed/>
    <w:rsid w:val="00153A77"/>
    <w:rPr>
      <w:vertAlign w:val="superscript"/>
    </w:rPr>
  </w:style>
  <w:style w:type="character" w:styleId="nfasis">
    <w:name w:val="Emphasis"/>
    <w:basedOn w:val="Fuentedeprrafopredeter"/>
    <w:uiPriority w:val="20"/>
    <w:qFormat/>
    <w:locked/>
    <w:rsid w:val="00F26B7B"/>
    <w:rPr>
      <w:i/>
      <w:iCs/>
    </w:rPr>
  </w:style>
  <w:style w:type="paragraph" w:customStyle="1" w:styleId="Default">
    <w:name w:val="Default"/>
    <w:rsid w:val="00AF3D0D"/>
    <w:pPr>
      <w:autoSpaceDE w:val="0"/>
      <w:autoSpaceDN w:val="0"/>
      <w:adjustRightInd w:val="0"/>
    </w:pPr>
    <w:rPr>
      <w:rFonts w:ascii="Arial" w:hAnsi="Arial" w:cs="Arial"/>
      <w:color w:val="000000"/>
      <w:sz w:val="24"/>
      <w:szCs w:val="24"/>
      <w:lang w:val="es-CO"/>
    </w:rPr>
  </w:style>
  <w:style w:type="character" w:styleId="Textoennegrita">
    <w:name w:val="Strong"/>
    <w:basedOn w:val="Fuentedeprrafopredeter"/>
    <w:uiPriority w:val="22"/>
    <w:qFormat/>
    <w:locked/>
    <w:rsid w:val="00CC6D4C"/>
    <w:rPr>
      <w:b/>
      <w:bCs/>
    </w:rPr>
  </w:style>
  <w:style w:type="character" w:customStyle="1" w:styleId="Ttulo3Car">
    <w:name w:val="Título 3 Car"/>
    <w:basedOn w:val="Fuentedeprrafopredeter"/>
    <w:link w:val="Ttulo3"/>
    <w:semiHidden/>
    <w:rsid w:val="00EC4086"/>
    <w:rPr>
      <w:rFonts w:asciiTheme="majorHAnsi" w:eastAsiaTheme="majorEastAsia" w:hAnsiTheme="majorHAnsi" w:cstheme="majorBidi"/>
      <w:color w:val="243F60" w:themeColor="accent1" w:themeShade="7F"/>
      <w:sz w:val="24"/>
      <w:szCs w:val="24"/>
    </w:rPr>
  </w:style>
  <w:style w:type="paragraph" w:customStyle="1" w:styleId="paragraph">
    <w:name w:val="paragraph"/>
    <w:basedOn w:val="Normal"/>
    <w:rsid w:val="00471879"/>
    <w:pPr>
      <w:spacing w:before="100" w:beforeAutospacing="1" w:after="100" w:afterAutospacing="1"/>
    </w:pPr>
    <w:rPr>
      <w:rFonts w:ascii="Times New Roman" w:hAnsi="Times New Roman"/>
      <w:color w:val="auto"/>
      <w:szCs w:val="24"/>
      <w:lang w:val="es-CO" w:eastAsia="es-CO"/>
    </w:rPr>
  </w:style>
  <w:style w:type="paragraph" w:styleId="NormalWeb">
    <w:name w:val="Normal (Web)"/>
    <w:basedOn w:val="Normal"/>
    <w:uiPriority w:val="99"/>
    <w:unhideWhenUsed/>
    <w:rsid w:val="00DB048A"/>
    <w:pPr>
      <w:spacing w:before="100" w:beforeAutospacing="1" w:after="100" w:afterAutospacing="1"/>
    </w:pPr>
    <w:rPr>
      <w:rFonts w:ascii="Times New Roman" w:hAnsi="Times New Roman"/>
      <w:color w:val="auto"/>
      <w:szCs w:val="24"/>
      <w:lang w:val="es-CO" w:eastAsia="es-CO"/>
    </w:rPr>
  </w:style>
  <w:style w:type="paragraph" w:styleId="Asuntodelcomentario">
    <w:name w:val="annotation subject"/>
    <w:basedOn w:val="Textocomentario"/>
    <w:next w:val="Textocomentario"/>
    <w:link w:val="AsuntodelcomentarioCar"/>
    <w:uiPriority w:val="99"/>
    <w:semiHidden/>
    <w:unhideWhenUsed/>
    <w:rsid w:val="0066735F"/>
    <w:rPr>
      <w:b/>
      <w:bCs/>
    </w:rPr>
  </w:style>
  <w:style w:type="character" w:customStyle="1" w:styleId="AsuntodelcomentarioCar">
    <w:name w:val="Asunto del comentario Car"/>
    <w:basedOn w:val="TextocomentarioCar"/>
    <w:link w:val="Asuntodelcomentario"/>
    <w:uiPriority w:val="99"/>
    <w:semiHidden/>
    <w:rsid w:val="0066735F"/>
    <w:rPr>
      <w:rFonts w:ascii="Arial" w:hAnsi="Arial"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4939">
      <w:bodyDiv w:val="1"/>
      <w:marLeft w:val="0"/>
      <w:marRight w:val="0"/>
      <w:marTop w:val="0"/>
      <w:marBottom w:val="0"/>
      <w:divBdr>
        <w:top w:val="none" w:sz="0" w:space="0" w:color="auto"/>
        <w:left w:val="none" w:sz="0" w:space="0" w:color="auto"/>
        <w:bottom w:val="none" w:sz="0" w:space="0" w:color="auto"/>
        <w:right w:val="none" w:sz="0" w:space="0" w:color="auto"/>
      </w:divBdr>
    </w:div>
    <w:div w:id="253132272">
      <w:bodyDiv w:val="1"/>
      <w:marLeft w:val="0"/>
      <w:marRight w:val="0"/>
      <w:marTop w:val="0"/>
      <w:marBottom w:val="0"/>
      <w:divBdr>
        <w:top w:val="none" w:sz="0" w:space="0" w:color="auto"/>
        <w:left w:val="none" w:sz="0" w:space="0" w:color="auto"/>
        <w:bottom w:val="none" w:sz="0" w:space="0" w:color="auto"/>
        <w:right w:val="none" w:sz="0" w:space="0" w:color="auto"/>
      </w:divBdr>
    </w:div>
    <w:div w:id="458842695">
      <w:bodyDiv w:val="1"/>
      <w:marLeft w:val="0"/>
      <w:marRight w:val="0"/>
      <w:marTop w:val="0"/>
      <w:marBottom w:val="0"/>
      <w:divBdr>
        <w:top w:val="none" w:sz="0" w:space="0" w:color="auto"/>
        <w:left w:val="none" w:sz="0" w:space="0" w:color="auto"/>
        <w:bottom w:val="none" w:sz="0" w:space="0" w:color="auto"/>
        <w:right w:val="none" w:sz="0" w:space="0" w:color="auto"/>
      </w:divBdr>
    </w:div>
    <w:div w:id="534780979">
      <w:bodyDiv w:val="1"/>
      <w:marLeft w:val="0"/>
      <w:marRight w:val="0"/>
      <w:marTop w:val="0"/>
      <w:marBottom w:val="0"/>
      <w:divBdr>
        <w:top w:val="none" w:sz="0" w:space="0" w:color="auto"/>
        <w:left w:val="none" w:sz="0" w:space="0" w:color="auto"/>
        <w:bottom w:val="none" w:sz="0" w:space="0" w:color="auto"/>
        <w:right w:val="none" w:sz="0" w:space="0" w:color="auto"/>
      </w:divBdr>
    </w:div>
    <w:div w:id="800226314">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904529571">
      <w:bodyDiv w:val="1"/>
      <w:marLeft w:val="0"/>
      <w:marRight w:val="0"/>
      <w:marTop w:val="0"/>
      <w:marBottom w:val="0"/>
      <w:divBdr>
        <w:top w:val="none" w:sz="0" w:space="0" w:color="auto"/>
        <w:left w:val="none" w:sz="0" w:space="0" w:color="auto"/>
        <w:bottom w:val="none" w:sz="0" w:space="0" w:color="auto"/>
        <w:right w:val="none" w:sz="0" w:space="0" w:color="auto"/>
      </w:divBdr>
    </w:div>
    <w:div w:id="987128233">
      <w:bodyDiv w:val="1"/>
      <w:marLeft w:val="0"/>
      <w:marRight w:val="0"/>
      <w:marTop w:val="0"/>
      <w:marBottom w:val="0"/>
      <w:divBdr>
        <w:top w:val="none" w:sz="0" w:space="0" w:color="auto"/>
        <w:left w:val="none" w:sz="0" w:space="0" w:color="auto"/>
        <w:bottom w:val="none" w:sz="0" w:space="0" w:color="auto"/>
        <w:right w:val="none" w:sz="0" w:space="0" w:color="auto"/>
      </w:divBdr>
    </w:div>
    <w:div w:id="1319648718">
      <w:bodyDiv w:val="1"/>
      <w:marLeft w:val="0"/>
      <w:marRight w:val="0"/>
      <w:marTop w:val="0"/>
      <w:marBottom w:val="0"/>
      <w:divBdr>
        <w:top w:val="none" w:sz="0" w:space="0" w:color="auto"/>
        <w:left w:val="none" w:sz="0" w:space="0" w:color="auto"/>
        <w:bottom w:val="none" w:sz="0" w:space="0" w:color="auto"/>
        <w:right w:val="none" w:sz="0" w:space="0" w:color="auto"/>
      </w:divBdr>
    </w:div>
    <w:div w:id="1319848876">
      <w:bodyDiv w:val="1"/>
      <w:marLeft w:val="0"/>
      <w:marRight w:val="0"/>
      <w:marTop w:val="0"/>
      <w:marBottom w:val="0"/>
      <w:divBdr>
        <w:top w:val="none" w:sz="0" w:space="0" w:color="auto"/>
        <w:left w:val="none" w:sz="0" w:space="0" w:color="auto"/>
        <w:bottom w:val="none" w:sz="0" w:space="0" w:color="auto"/>
        <w:right w:val="none" w:sz="0" w:space="0" w:color="auto"/>
      </w:divBdr>
    </w:div>
    <w:div w:id="1386834043">
      <w:bodyDiv w:val="1"/>
      <w:marLeft w:val="0"/>
      <w:marRight w:val="0"/>
      <w:marTop w:val="0"/>
      <w:marBottom w:val="0"/>
      <w:divBdr>
        <w:top w:val="none" w:sz="0" w:space="0" w:color="auto"/>
        <w:left w:val="none" w:sz="0" w:space="0" w:color="auto"/>
        <w:bottom w:val="none" w:sz="0" w:space="0" w:color="auto"/>
        <w:right w:val="none" w:sz="0" w:space="0" w:color="auto"/>
      </w:divBdr>
    </w:div>
    <w:div w:id="1440561150">
      <w:bodyDiv w:val="1"/>
      <w:marLeft w:val="0"/>
      <w:marRight w:val="0"/>
      <w:marTop w:val="0"/>
      <w:marBottom w:val="0"/>
      <w:divBdr>
        <w:top w:val="none" w:sz="0" w:space="0" w:color="auto"/>
        <w:left w:val="none" w:sz="0" w:space="0" w:color="auto"/>
        <w:bottom w:val="none" w:sz="0" w:space="0" w:color="auto"/>
        <w:right w:val="none" w:sz="0" w:space="0" w:color="auto"/>
      </w:divBdr>
    </w:div>
    <w:div w:id="1820147925">
      <w:bodyDiv w:val="1"/>
      <w:marLeft w:val="0"/>
      <w:marRight w:val="0"/>
      <w:marTop w:val="0"/>
      <w:marBottom w:val="0"/>
      <w:divBdr>
        <w:top w:val="none" w:sz="0" w:space="0" w:color="auto"/>
        <w:left w:val="none" w:sz="0" w:space="0" w:color="auto"/>
        <w:bottom w:val="none" w:sz="0" w:space="0" w:color="auto"/>
        <w:right w:val="none" w:sz="0" w:space="0" w:color="auto"/>
      </w:divBdr>
    </w:div>
    <w:div w:id="184524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caldiabogota.gov.co/sisjur/normas/Norma1.jsp?i=11958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alcaldiabogota.gov.co/sisjur/normas/Norma1.jsp?i=119582"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01E57-984A-4B3C-B2A6-21D8F79E5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7792</Words>
  <Characters>42861</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50552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MAYRA ALEJANDRA TOLEDO CARDOZO</cp:lastModifiedBy>
  <cp:revision>2</cp:revision>
  <cp:lastPrinted>2025-02-20T18:39:00Z</cp:lastPrinted>
  <dcterms:created xsi:type="dcterms:W3CDTF">2025-05-12T21:21:00Z</dcterms:created>
  <dcterms:modified xsi:type="dcterms:W3CDTF">2025-05-12T21:21:00Z</dcterms:modified>
</cp:coreProperties>
</file>